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Pr>
          <w:rFonts w:ascii="Times New Roman" w:hAnsi="Times New Roman" w:eastAsia="宋体"/>
          <w:sz w:val="24"/>
          <w:szCs w:val="24"/>
        </w:rPr>
        <w:t xml:space="preserve">The inclusion criteria and procedures of this prospective, single-center, randomized phase II trial have previously been described. Eligible patients were enrolled at the Sun Yat-sen University Cancer Center (SYSUCC), Guangzhou, China, between October 2010 and March 2015. Eligibility was determined before randomization on the basis of a standardized pretreatment staging workup, as detailed in the Procedures section, and required all of the following: age between 18 and 70 years; histologically proven esophageal squamous cell carcinoma; potentially curable, locally advanced disease, defined as clinical stage II to IVA according to the 6th edition of the American Joint Committee on Cancer (AJCC) staging system for esophagus cancer, including patients with metastatic celiac or cervical nodes; a Karnofsky performance status (KPS) score ≥ 70; adequate bone marrow, hepatic, and renal function, as defined in the study protocol; and no history of other malignancies. Patients were excluded if they had distant metastasis other than involvement of the celiac or cervical nodes before treatment, a history of hypersensitivity to cisplatin (CDDP), 5-fluorouracil, or docetaxel, or were pregnant or breastfeeding. The study protocol and the informed consent form were reviewed and approved by the Ethics Committee of SYSUCC, and the trial was conducted in accordance with the Declaration of Helsinki. All patients provided written informed consent before enrollment and randomization. The trial was registered at ClinicalTrials.gov (NCT 02969473).</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