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inclusion criteria and the procedures of this prospective, single-center, randomized phase II trial have previously been reported. Eligible patients were aged between 18 and 70 years; had adequate bone marrow, hepatic, and renal function; a Karnofsky performance status (KPS) score ≥ 70; and had no history of other malignancies. Only patients with locally advanced (clinical stage II to IVA, including metastatic celiac or cervical nodes, according to the 6th edition of the American Joint Committee on Cancer [AJCC] staging system for esophagus cancer), histologically proven, and potentially curable ESCC, were eligible for inclusion. Primary exclusion criteria were the presence of distant metastasis (except for those confined to the celiac or cervical nodes) before treatment, a history of hypersensitivity to CDDP, 5-fluorouracil and docetaxel, and patients who were pregnant or breastfeeding. Our study protocol was reviewed by the SYSUCC Ethics Committee and approved. All patients gave their written informed consent to participate in the study.</w:t>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After confirming the eligibility criteria, using a computerized randomization program, patients were divided into either the PF (41 patients) or DP (45 patients)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patient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The treatment plan is illustrated in Fig. 1. Two cycles of chemotherapy were administered with CCRT to all patients. For patients assigned to receive CCRT with the DP regimen, docetaxel (60 mg/m2 delivered on day 1) and cisplatin (80 mg/m2 delivered on day 1) were intravenously administered at 3-week intervals. For patients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patients. All patients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patients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patients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Pr>
          <w:rFonts w:ascii="Times New Roman" w:hAnsi="Times New Roman" w:eastAsia="宋体"/>
          <w:sz w:val="24"/>
          <w:szCs w:val="24"/>
        </w:rPr>
        <w:t xml:space="preserve">From 2010 to 2015, we enrolled 86 patients in this trial, PF group had 41 participants and DP group had 45 (Fig. 2). Due to the slow enrollment, we terminate early. There was a good balance between the two groups in terms of demographics and characteristics of tumor (Table 1). The treatment compliance details for the patients are listed in Table 2. All patients in the two groups completed radiotherapy as planned, with 35 (85.4%) receiving IMRT and 6 (14.6%) patients receiving 3D-CRT in the PF group versus 33 (73.3%) receiving IMRT and 12 (26.7%) patients receiving 3D-CRT in the DP group (P = .171). As for chemotherapy, PF group had 40 (96.7%) patients complete full doses for two cycles, while the DP group had 32 (71.1%) patients complete full doses for two cycles (P = .002). Due to the early treatment-induced toxicity, one (2.4% of the PF patients) required an altered chemotherapy regimen during the second cycle. However, in the DP patients, eight (17.8%) received dose reduction, three (6.7%) received an altered regimen, and two (4.4%) canceled chemotherapy during the second cycle. According to the evaluation criteria for clinical efficacy, in the PF group, 12 patients obtained complete remission (CR), 24 patients achieved partial remission (PR), four patients experienced stable disease (SD), and one suffered progressive disease (PD). In the DP group, there were 14, 24, 5, and 2 patients with CR, PR, SD, and PD, respectively. The overall response rate (ORR: CR + PR) was 87.8% in the PF group and 84.4% in the DP group (P = .653) [[18]].</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Pr>
          <w:rFonts w:ascii="Times New Roman" w:hAnsi="Times New Roman" w:eastAsia="宋体"/>
          <w:sz w:val="24"/>
          <w:szCs w:val="24"/>
        </w:rPr>
        <w:t xml:space="preserve">As of the time of this analysis, the median follow-up period for the surviving patients was 107 months (range 98–116). Of the 86 analyzed patients, 46 deaths (53.5%) were recorded at the final analysis (18 [43.9%] of 41 patients in the PF group and 28 [62.2%] of 45 patients in the DP group). The 5-year OS rates were 62.9% ± 7.6% in the PF group, and 52.7% ± 7.5% in the DP group. There was no significant difference in 5-year OS (62.9% vs. 52.7%, P = .131) between the PF and the DP group, respectively (Fig. 3). The 5-year PFS rates were 43.9% ± 7.8% for the PF group, and 40.0% ± 7.3% for the DP group (P = .398),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sidRPr="00C4D5E6">
        <w:rPr>
          <w:rFonts w:ascii="Times New Roman" w:hAnsi="Times New Roman" w:eastAsia="宋体"/>
          <w:sz w:val="24"/>
          <w:szCs w:val="24"/>
        </w:rPr>
        <w:t xml:space="preserve">For clinicians, esophageal carcinoma remains a challenging condition, with a poor prognosis and low survival rate.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sidRPr="00C4D5E6">
        <w:rPr>
          <w:rFonts w:ascii="Times New Roman" w:hAnsi="Times New Roman" w:eastAsia="宋体"/>
          <w:sz w:val="24"/>
          <w:szCs w:val="24"/>
        </w:rPr>
        <w:t xml:space="preserve">To improve the efficacy, some studies have aimed to improve survival by optimizing the radiation dose [[5], [31], [38]]. Unsurprisingly, none of the results were satisfactory. And recently, an oral presentation from Maarten C.C.M. Hulshof at 2020 ASCO-GI indicated that increasing the radiotherapy dose from 50.4 to 61.6 Gy (primary tumor) did not significantly improve local control rate and OS. In contrast, the number of related side effects increased.</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