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Pr>
          <w:rFonts w:ascii="Times New Roman" w:hAnsi="Times New Roman" w:eastAsia="宋体"/>
          <w:sz w:val="24"/>
          <w:szCs w:val="24"/>
        </w:rPr>
        <w:t xml:space="preserve">Participants’ inclusion criteria and the procedures of this prospective, single-center, randomized phase II trial have previously been reported. Eligible participants were aged between 18 and 70 years; had adequate bone marrow, hepatic, and renal function; a Karnofsky performance status (KPS) score ≥ 70; and had no history of other malignancies. Only participants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participants who were pregnant or breastfeeding. Our study protocol was reviewed by the SYSUCC Ethics Committee and approved. All participants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Pr>
          <w:rFonts w:ascii="Times New Roman" w:hAnsi="Times New Roman" w:eastAsia="宋体"/>
          <w:sz w:val="24"/>
          <w:szCs w:val="24"/>
        </w:rPr>
        <w:t xml:space="preserve">After confirming the eligibility criteria, using a computerized randomization program, participants were divided into either the PF (41 participants) or DP (45 participants)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Pr>
          <w:rFonts w:ascii="Times New Roman" w:hAnsi="Times New Roman" w:eastAsia="宋体"/>
          <w:sz w:val="24"/>
          <w:szCs w:val="24"/>
        </w:rPr>
        <w:t xml:space="preserve">All participants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participant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Pr>
          <w:rFonts w:ascii="Times New Roman" w:hAnsi="Times New Roman" w:eastAsia="宋体"/>
          <w:sz w:val="24"/>
          <w:szCs w:val="24"/>
        </w:rPr>
        <w:t xml:space="preserve">The treatment plan is illustrated in Fig. 1. Two cycles of chemotherapy were administered with CCRT to all participants. For participants assigned to receive CCRT with the DP regimen, docetaxel (60 mg/m2 delivered on day 1) and cisplatin (80 mg/m2 delivered on day 1) were intravenously administered at 3-week intervals. For participants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participants. All participants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participants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participants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