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Pr>
          <w:rFonts w:ascii="Times New Roman" w:hAnsi="Times New Roman" w:eastAsia="宋体"/>
          <w:sz w:val="24"/>
          <w:szCs w:val="24"/>
        </w:rPr>
        <w:t xml:space="preserve">In this retrospective study, we compared the clinical characteristics and prognosis of patients with T4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(see Supplementary Table S2, S3, S4)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