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Pr>
          <w:rFonts w:ascii="Times New Roman" w:hAnsi="Times New Roman" w:eastAsia="宋体"/>
          <w:sz w:val="24"/>
          <w:szCs w:val="24"/>
        </w:rPr>
        <w:t xml:space="preserve">However, other studies have reported negative results. A Japanese study enrolled 71 patients with T4 EC and tracheobronchial invasion (TBI), of whom 58 underwent dCRT and 13 underwent iCRT-S. No significant difference was observed between the dCRT and iCRT-S groups. Clinical LN negativity and a later treatment period were significant favorable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among the three groups [[22]]. To our knowledge, this is the first study to compare CRT-S with D-CRT in patients with locally advanced, inoperable ESCC who were downstaged after neo-CRT. The 8 patients from a single-arm, single-center, investigator-initiated, exploratory phase II clinical study (ClinicalTrials.gov NCT04137679) were selected randomly according to the randomization system. For the remaining 98 patients, both treatment options were presented equally, and the final decision was made jointly by the patient and the physician. Respecting the patient's right to give informed consent is a basic principle. After propensity score matching (PSM), no significant differences in patient characteristics were observed between the CRT-S and D-CRT groups. Although we acknowledge the limitations inherent in retrospective studies, surgery after neo-CRT may improve survival and decrease recurrence compared with D-CRT in patients with locally advanced, inoperable ESCC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