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We retrospectively enrolled patients with ESCC who had been treated with CRT from January 2010 to December 2020 at our center, including 8 cases from a single-arm, single-center, investigator-initiated, exploratory, phase II clinical study (ClinicalTrials.gov NCT04137679) at Tianjin Medical University Cancer Institute &amp; Hospital in Tianjin, China. The inclusion criteria were as follows: (1) squamous cell histological type; (2) staged as unresectable T4 disease by a multidisciplinary team based on biopsy and imaging pretreatment examination data; (3) downstaged to T3 or lower T stage by neoadjuvant CRT; (4) without distant organ metastases; and (5) Eastern Cooperative Oncology Group (ECOG) performance status (PS) of ≤ 1. All patients were staged according to the 8th edition of the American Joint Committee on Cancer (AJCC) staging manual.</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patient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The following clinicopathologic parameters for each patient were also collected: sex, age at diagnosis, smoking history, drinking history and TNM stage in line with the 8th edition of the esophageal cancer staging system. The PFS and OS of patients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patients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patients’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CRT-S group received a 40-Gy radiation dose (2 Gy once daily in 20 fractions, 5 days a week) and were scheduled to undergo resection 4–6 weeks after having completed induction chemoradiation. Patients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patients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approved by the institutional review board at Tianjin Medical University. Written informed consent was obtained from each patient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January 2010 to December 2020, 125 T4 ESCC patients were treated with CRT in our center; of these, 106 patients were down staged to T3 or lower T stage. The patients’ demographics and tumor characteristics are listed in Table 1. After multi-disciplinary treatment (MDT) of department of radiation oncology and department of esophageal cancer, all patients were suitable for surgery or definitive chemoradiotherapy after neochemoradiotherapy. Of the whole 106 cases, 8 cases were from a single-arm, single-center, investigator-initiated, exploratory, phase II clinical study (ClinicalTrials.gov NCT04137679) at Tianjin Medical University Cancer Institute &amp; Hospital in Tianjin, China. The choices of the 8 patients were randomly made according to the random system. For the rest of the 98 cases, doctors provided the two possibilities of treatment ways equally and patients and doctors made the final decision together. Of the 106 downstaged T4 stage patients, 32 patients received surgery after neo-CRT, and 74 patients received D-CRT (Fig. 1). These patients had a median follow-up duration of 17.3 months (range: 2.6–90.6 months). The cohort consisted mostly of males, 92 male patients (86.8%) and only 14 female patients (13.2%). The majority of enrolled patients had upper (36; 34.0%) or middle (42; 4.0%) thoracic ESCC. In comparison with the D-CRT group, the CRT-S group had a lower proportion of T4b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0.063), and more patients were in the middle or lower segment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No other significant differences were found between the patients in the CRT-S and D-CRT groups with respect to age, sex, smoking history, drinking index, Karnofsky Performance Status (KPS) score, N stage or weight loss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E" w14:textId="77777777" w:rsidR="00A1B2C3" w:rsidRDefault="00A1B2C3">
      <w:pPr>
        <w:spacing w:line="480" w:lineRule="auto"/>
        <w:ind w:firstLine="480"/>
        <w:jc w:val="both"/>
      </w:pPr>
      <w:r w:rsidRPr="00C4D5E6">
        <w:rPr>
          <w:rFonts w:ascii="Times New Roman" w:hAnsi="Times New Roman" w:eastAsia="宋体"/>
          <w:sz w:val="24"/>
          <w:szCs w:val="24"/>
        </w:rPr>
        <w:t xml:space="preserve">Among all 106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Fig. 2A),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Fig. 2B),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 Fig. 2C) were significantly associated with overall survival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Fig. 3A),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0.020, Fig. 3B),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0.017) and drinking index (hazard ratio = 0.569, 95% confidence interval: 0.351–0.924,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0.022) were independent predictors for PFS (Tables 2 and 3).</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4A),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4B), KPS score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4C) and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4D) were significantly associated with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Fig. 5A),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5B),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0.016, Fig. 5C) and smoking status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0.049), age (hazard ratio = 0.372, 95% confidence interval: 0.176–0.785,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and smoking status (hazard ratio = 2.864, 95% confidence interval: 1.081–7.589,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sidRPr="00C4D5E6">
        <w:rPr>
          <w:rFonts w:ascii="Times New Roman" w:hAnsi="Times New Roman" w:eastAsia="宋体"/>
          <w:sz w:val="24"/>
          <w:szCs w:val="24"/>
        </w:rPr>
        <w:t xml:space="preserve">In the present study, we retrospectively investigated the clinical characteristics and prognosis of patients with T4 stage ESCC who were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some studies showed negative results. A study from Japan enrolled 71 patients with T4 EC with tracheobronchial invasion (TBI); 58 underwent dCRT, and 13 underwent iCRT-S. There was no significant difference between the dCRT and iCRT-S groups. Clinical LN negativity and later treatment period were significantly good prognostic factors for T4 EC with TBI [[10]]. The median survival times (MSTs) of patients with locally advanced esophageal cancer with adjacent organ invasion after definitive CRT, bypass surgery plus CRT and CRT followed by esophagectomy were 10.4, 11.0 and 16.4 months, respectively; MST did not differ significantly between patients [[22]]. To our knowledge, our study is the first to compare CRT-S and D-CRT in locally advanced inoperable ESCC patients who were downstaged after neo-CRT. The choice of the 8 patients from a single-arm, single-center, investigator-initiated, exploratory, phase II clinical study (ClinicalTrials.gov NCT04137679) was randomly made according to the random system. For the rest of the 98 cases, doctors provided the two possibilities of treatment ways equally and patients and doctors made the final decision together. It is a basic principle to respect the patients right of consent. After propensity score matching (PSM), no significant differences between the CRT-S and D-CRT groups were observed in the patient characteristics. Although we acknowledge the limitations of retrospective studies, surgery after neo-CRT may probably improve survival and decrease recurrence compared with D-CRT for locally advanced inoperable ESCC patients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