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 Beyond tumor burden, host inflammatory status is increasingly recognized as a determinant of outcome under immunotherapy; in a prospective cohort of 53 patients with extensive‐stage small‐cell lung cancer receiving first‐line chemotherapy plus atezolizumab, a pretreatment platelet‐to‐lymphocyte ratio above 119.23 was the only independent predictor of overall survival (HR 4.63, 95% CI 1.00–21.46) and was associated with significantly worse overall and progression‐free survival.</w:t>
      </w:r>
      <w:r>
        <w:rPr>
          <w:rFonts w:ascii="Times New Roman" w:hAnsi="Times New Roman" w:eastAsia="宋体"/>
          <w:sz w:val="24"/>
          <w:szCs w:val="24"/>
          <w:vertAlign w:val="superscript"/>
        </w:rPr>
        <w:t>[1]</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51 patients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patients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p>
      <w:pPr>
        <w:pStyle w:val="Heading1"/>
      </w:pPr>
      <w:r>
        <w:t>参考文献</w:t>
      </w:r>
    </w:p>
    <w:p>
      <w:pPr>
        <w:ind w:left="440" w:hanging="440"/>
      </w:pPr>
      <w:r>
        <w:t xml:space="preserve">[1] Qi WX, Xiang Y, Zhao S, Chen J. Assessment of systematic inflammatory and nutritional indexes in extensive-stage small-cell lung cancer treated with first-line chemotherapy and atezolizumab. Cancer Immunol Immunother. 2021;70(11):3199-3206. doi:10.1007/s00262-021-02926-3</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