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commentRangeStart w:id="0"/>
      <w:r>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w:t>
      </w:r>
      <w:r>
        <w:rPr>
          <w:rFonts w:ascii="Times New Roman" w:hAnsi="Times New Roman" w:eastAsia="宋体"/>
          <w:sz w:val="24"/>
          <w:szCs w:val="24"/>
        </w:rPr>
        <w:t xml:space="preserve"> Since the publication of the CROSS[2], [3] and NEOCRTEC 5010 trials,[4], [5] neoadjuvant chemoradiotherapy (neo‐CRT) followed by curative surgery has become the standardized treatment for locally advanced esophageal cancer (LAEC). </w:t>
      </w:r>
      <w:commentRangeStart w:id="1"/>
      <w:r>
        <w:rPr>
          <w:rFonts w:ascii="Times New Roman" w:hAnsi="Times New Roman" w:eastAsia="宋体"/>
          <w:sz w:val="24"/>
          <w:szCs w:val="24"/>
        </w:rPr>
        <w:t xml:space="preserve">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commentRangeEnd w:id="0"/>
      <w:r>
        <w:rPr>
          <w:rStyle w:val="CommentReference"/>
        </w:rPr>
        <w:commentReference w:id="0"/>
      </w:r>
      <w:commentRangeEnd w:id="1"/>
      <w:r>
        <w:rPr>
          <w:rStyle w:val="CommentReference"/>
        </w:rPr>
        <w:commentReference w:id="1"/>
      </w:r>
    </w:p>
    <w:p w14:paraId="1A2B3C0A" w14:textId="77777777" w:rsidR="00A1B2C3" w:rsidRDefault="00A1B2C3">
      <w:pPr>
        <w:spacing w:line="480" w:lineRule="auto"/>
        <w:ind w:firstLine="480"/>
        <w:jc w:val="both"/>
      </w:pPr>
      <w:r>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t>
      </w:r>
      <w:commentRangeStart w:id="2"/>
      <w:r>
        <w:rPr>
          <w:rFonts w:ascii="Times New Roman" w:hAnsi="Times New Roman" w:eastAsia="宋体"/>
          <w:sz w:val="24"/>
          <w:szCs w:val="24"/>
        </w:rPr>
        <w:t xml:space="preserve">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commentRangeEnd w:id="2"/>
      <w:r>
        <w:rPr>
          <w:rStyle w:val="CommentReference"/>
        </w:rPr>
        <w:commentReference w:id="2"/>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Pr>
          <w:rFonts w:ascii="Times New Roman" w:hAnsi="Times New Roman" w:eastAsia="宋体"/>
          <w:sz w:val="24"/>
          <w:szCs w:val="24"/>
        </w:rPr>
        <w:t xml:space="preserve">This study was a secondary analysis of a prospectively maintained cohort of patients with ESCC treated with neoadjuvant chemoradiotherapy (neo-CRT) plus pembrolizumab at the Department of Radiation Oncology, Ruijin Hospital, Shanghai Jiao Tong University School of Medicine between March 2019 and March 2022. Patients were drawn from two prospective trials of the same regimen conducted at our institution, the phase Ib PALACE-1 trial and the phase 1/2 PALACE-2 trial (ClinicalTrials.gov NCT04435197), and comprised all patients enrolled in PALACE-1 and a subset of those enrolled in PALACE-2, giving a total of 51 patients. Eligibility required histologically confirmed ESCC, previously untreated, locally advanced but surgically resectable disease of clinical stage II-IVA (AJCC, eighth edition), an Eastern Cooperative Oncology Group performance status of 0-1, and adequate organ function; patients with previous chemotherapy, radiotherapy, targeted therapy or immunotherapy for oesophageal cancer or any other malignancy, active autoimmune disease, interstitial lung disease, or ongoing immunosuppressive therapy were excluded. The eligibility criteria have been reported in detail previously.[9] Patients were followed up every 3 months during the first year after treatment and every 6 months thereafter, and the last follow-up for the present analysis was June 20, 2022. The study was conducted in accordance with the Declaration of Helsinki and with the institutional and national standards on human experimentation, and the protocol was approved by the Ethics Committee of Ruijin Hospital, Shanghai Jiao Tong University School of Medicine; informed consent was obtained from all patients.</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w:t>
      </w:r>
      <w:commentRangeStart w:id="3"/>
      <w:r>
        <w:rPr>
          <w:rFonts w:ascii="Times New Roman" w:hAnsi="Times New Roman" w:eastAsia="宋体"/>
          <w:sz w:val="24"/>
          <w:szCs w:val="24"/>
        </w:rPr>
        <w:t xml:space="preserve">8.5 months; HR, 0.79; </w:t>
      </w:r>
      <w:r>
        <w:rPr>
          <w:rFonts w:ascii="Times New Roman" w:hAnsi="Times New Roman" w:eastAsia="宋体"/>
          <w:i/>
          <w:sz w:val="24"/>
          <w:szCs w:val="24"/>
        </w:rPr>
        <w:t xml:space="preserve">p</w:t>
      </w:r>
      <w:r>
        <w:rPr>
          <w:rFonts w:ascii="Times New Roman" w:hAnsi="Times New Roman" w:eastAsia="宋体"/>
          <w:sz w:val="24"/>
          <w:szCs w:val="24"/>
        </w:rPr>
        <w:t xml:space="preserve"> = 0.0264), with three‐year OS rates of 15.3% and 8.7%, respectively.</w:t>
      </w:r>
      <w:r>
        <w:rPr>
          <w:rFonts w:ascii="Times New Roman" w:hAnsi="Times New Roman" w:eastAsia="宋体"/>
          <w:sz w:val="24"/>
          <w:szCs w:val="24"/>
        </w:rPr>
        <w:t xml:space="preserve"> Similarly, KEYNOTE‐181[33] showed that pembrolizumab prolonged OS versus chemotherapy as second‐line therapy for advanced esophageal cancer in patients with PD‐L1 CPS ≥10 (median, 9.3 vs. </w:t>
      </w:r>
      <w:commentRangeStart w:id="4"/>
      <w:r>
        <w:rPr>
          <w:rFonts w:ascii="Times New Roman" w:hAnsi="Times New Roman" w:eastAsia="宋体"/>
          <w:sz w:val="24"/>
          <w:szCs w:val="24"/>
        </w:rPr>
        <w:t xml:space="preserve">6.7 months; HR, 0.69, </w:t>
      </w:r>
      <w:r>
        <w:rPr>
          <w:rFonts w:ascii="Times New Roman" w:hAnsi="Times New Roman" w:eastAsia="宋体"/>
          <w:i/>
          <w:sz w:val="24"/>
          <w:szCs w:val="24"/>
        </w:rPr>
        <w:t xml:space="preserve">p</w:t>
      </w:r>
      <w:r>
        <w:rPr>
          <w:rFonts w:ascii="Times New Roman" w:hAnsi="Times New Roman" w:eastAsia="宋体"/>
          <w:sz w:val="24"/>
          <w:szCs w:val="24"/>
        </w:rPr>
        <w:t xml:space="preserve"> = 0.0074).</w:t>
      </w:r>
      <w:r>
        <w:rPr>
          <w:rFonts w:ascii="Times New Roman" w:hAnsi="Times New Roman" w:eastAsia="宋体"/>
          <w:sz w:val="24"/>
          <w:szCs w:val="24"/>
        </w:rPr>
        <w:t xml:space="preserve"> More recently, KEYNOTE‐590[34] found that pembrolizumab plus chemotherapy improved OS when compared with placebo plus chemotherapy as first‐line therapy for esophageal cancer with PD‐L1 CPS of 10 or more (median 13·9 vs. 8·8 months; HR 0·57, </w:t>
      </w:r>
      <w:r>
        <w:rPr>
          <w:rFonts w:ascii="Times New Roman" w:hAnsi="Times New Roman" w:eastAsia="宋体"/>
          <w:i/>
          <w:sz w:val="24"/>
          <w:szCs w:val="24"/>
        </w:rPr>
        <w:t xml:space="preserve">p</w:t>
      </w:r>
      <w:r>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commentRangeEnd w:id="3"/>
      <w:r>
        <w:rPr>
          <w:rStyle w:val="CommentReference"/>
        </w:rPr>
        <w:commentReference w:id="3"/>
      </w:r>
      <w:commentRangeEnd w:id="4"/>
      <w:r>
        <w:rPr>
          <w:rStyle w:val="CommentReference"/>
        </w:rPr>
        <w:commentReference w:id="4"/>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ment w:id="0" w:author="Heurion" w:initials="H" w:date="2026-10-19T14:27:02Z">
    <w:p>
      <w:r>
        <w:t xml:space="preserve">Heurion：论断核对：数值型论断缺少出处。该句包含具体临床统计数值，但缺少明确的参考文献引用标注。
句子：According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w:t>
      </w:r>
    </w:p>
  </w:comment>
  <w:comment w:id="1" w:author="Heurion" w:initials="H" w:date="2026-10-19T14:27:02Z">
    <w:p>
      <w:r>
        <w:t xml:space="preserve">Heurion：论断核对：数值型论断缺少出处。该句包含具体临床统计数值，但缺少明确的参考文献引用标注。
句子：However,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comment>
  <w:comment w:id="2" w:author="Heurion" w:initials="H" w:date="2026-10-19T14:27:02Z">
    <w:p>
      <w:r>
        <w:t xml:space="preserve">Heurion：论断核对：数值型论断缺少出处。该句包含具体临床统计数值，但缺少明确的参考文献引用标注。
句子：We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comment>
  <w:comment w:id="3" w:author="Heurion" w:initials="H" w:date="2026-10-19T14:27:02Z">
    <w:p>
      <w:r>
        <w:t xml:space="preserve">Heurion：论断核对：数值型论断缺少出处。该句包含具体临床统计数值，但缺少明确的参考文献引用标注。
句子：8.5 months; HR, 0.79; p = 0.0264), with three‐year OS rates of 15.3% and 8.7%, respectively.</w:t>
      </w:r>
    </w:p>
  </w:comment>
  <w:comment w:id="4" w:author="Heurion" w:initials="H" w:date="2026-10-19T14:27:02Z">
    <w:p>
      <w:r>
        <w:t xml:space="preserve">Heurion：论断核对：数值型论断缺少出处。该句包含具体临床统计数值，但缺少明确的参考文献引用标注。
句子：6.7 months; HR, 0.69, p = 0.0074).</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1002" Type="http://schemas.openxmlformats.org/officeDocument/2006/relationships/comments" Target="comments.xml"/></Relationships>
</file>