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Pr>
          <w:rFonts w:ascii="Times New Roman" w:hAnsi="Times New Roman" w:eastAsia="宋体"/>
          <w:sz w:val="24"/>
          <w:szCs w:val="24"/>
        </w:rPr>
        <w:t xml:space="preserve">To our knowledge, this is the first systematic review and meta-analysis to include the largest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(see Supplementary Table S2, S3, S4)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