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Pr>
          <w:rFonts w:ascii="Times New Roman" w:hAnsi="Times New Roman" w:eastAsia="宋体"/>
          <w:sz w:val="24"/>
          <w:szCs w:val="24"/>
        </w:rPr>
        <w:t xml:space="preserve">We searched four electronic databases—PubMed, Embase, Web of Science, and the Cochrane Central Register of Controlled Trials (CENTRAL)—from database inception to 30 April 2022, when the last search was run; no restriction was applied to language, publication year, or publication status. The strategy combined controlled vocabulary (MeSH in PubMed, Emtree in Embase) with free-text terms for the population (esophageal cancer, esophageal carcinoma, esophageal neoplasm, esophageal squamous cell carcinoma), the intervention (involved-field irradiation, IFI, IFRT), and the comparator (elective nodal irradiation, ENI, extended-field irradiation), was adapted to the syntax of each database, and was run without any study-design filter. Records were eligible if they compared IFI with ENI in patients with esophageal cancer treated with definitive radiotherapy or chemoradiotherapy and reported at least one of the prespecified outcomes; randomized controlled trials and retrospective comparative studies were eligible, whereas single-arm studies, palliative radiotherapy, conference abstracts, reviews, case reports, editorials, letters, and ongoing trials were excluded (detailed criteria are given in the following section). Records retrieved from the four databases were de-duplicated and screened independently by two reviewers, with disagreements settled by a third reviewer. The complete search strings for each database are provided in </w:t>
      </w:r>
      <w:r>
        <w:rPr>
          <w:rFonts w:ascii="Times New Roman" w:hAnsi="Times New Roman" w:eastAsia="宋体"/>
          <w:b/>
          <w:sz w:val="24"/>
          <w:szCs w:val="24"/>
        </w:rPr>
        <w:t xml:space="preserve">Supplementary Table 1</w:t>
      </w:r>
      <w:r>
        <w:rPr>
          <w:rFonts w:ascii="Times New Roman" w:hAnsi="Times New Roman" w:eastAsia="宋体"/>
          <w:sz w:val="24"/>
          <w:szCs w:val="24"/>
        </w:rPr>
        <w:t xml:space="preserve">, and this review was conducted and reported in accordance with the Preferred Reporting Items for Systematic Reviews and Meta-Analyses (PRISMA 2020) statement and its selection process is summarized in the PRISMA flow diagram (</w:t>
      </w:r>
      <w:r>
        <w:rPr>
          <w:rFonts w:ascii="Times New Roman" w:hAnsi="Times New Roman" w:eastAsia="宋体"/>
          <w:b/>
          <w:sz w:val="24"/>
          <w:szCs w:val="24"/>
        </w:rPr>
        <w:t xml:space="preserve">Figure 1</w:t>
      </w:r>
      <w:r>
        <w:rPr>
          <w:rFonts w:ascii="Times New Roman" w:hAnsi="Times New Roman" w:eastAsia="宋体"/>
          <w:sz w:val="24"/>
          <w:szCs w:val="24"/>
        </w:rPr>
        <w:t xml:space="preserve">).</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