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 Outside of randomized trials, a retrospective single-institutional series of 357 patients with completely resected pIIIA-N2 NSCLC, in which PORT was delivered with 3D-CRT and an institutional standard clinical target volume, reported significantly better 5-year locoregional recurrence-free survival (91.9% vs 66.4%; P&lt;0.001) and overall survival (57.5% vs 35.1%; P=0.003) among patients receiving PORT, without a difference in distant metastasis-free survival (22.3% vs 21.7%; P=0.18).</w:t>
      </w:r>
      <w:r>
        <w:rPr>
          <w:rFonts w:ascii="Times New Roman" w:hAnsi="Times New Roman" w:eastAsia="宋体"/>
          <w:sz w:val="24"/>
          <w:szCs w:val="24"/>
          <w:vertAlign w:val="superscript"/>
        </w:rPr>
        <w:t>[1]</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January 1, 2009, and December 31, 2017, 394 patients were enrolled and randomized into the PORT or observation arm. A total of 364 patients were deemed eligible and constituted the mITT population, including 184 patients in the PORT arm and 180 patients in the observation arm (Figure 1 and eAppendix 1 in Supplement 2). The clinical features were well balanced between the 2 arms (Table 1).</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p>
      <w:pPr>
        <w:pStyle w:val="Heading1"/>
      </w:pPr>
      <w:r>
        <w:t>参考文献</w:t>
      </w:r>
    </w:p>
    <w:p>
      <w:pPr>
        <w:ind w:left="440" w:hanging="440"/>
      </w:pPr>
      <w:r>
        <w:t xml:space="preserve">[1] Feng W, Zhang Q, Fu XL, et al. The emerging outcome of postoperative radiotherapy for stage IIIA(N2) non-small cell lung cancer patients: based on the three-dimensional conformal radiotherapy technique and institutional standard clinical target volume. BMC Cancer. 2015;15(1). doi:10.1186/s12885-015-1326-6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