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PORT-C RCT was conducted at the National Cancer Center/National Clinical Research Center for Cancer/Cancer Hospital, Chinese Academy of Medical Sciences and Peking Union Medical College in Beijing, China, and approved by the institutional ethics committee. All patients provided written informed consent prior to enrollment. The trial protocol (Supplement 1) was approved by the institutional review board.</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Patients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After surgery followed by adjuvant chemotherapy, eligible patients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patients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the data from our retrospective study,[3] PORT-C was designed to detect an improvement in 3-year DFS from 30% to 44% (equivalent to an HR of 0.69) at a 1-sided type I error of 0.025 with an 80% power. Assuming a monthly accrual rate of 4.5 patients and guarding against 10% ineligibility or loss to follow-up, the target accrual was 390 patients,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patients were analyzed per randomized assignment, while the per-protocol (PP) population (eligible and randomized participants who adhered to treatment assigned) and the as-treated (AT) population (eligible patients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patients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January 1, 2009, and December 31, 2017, 394 patients were enrolled and randomized into the PORT or observation arm. A total of 364 patients were deemed eligible and constituted the mITT population, including 184 patients in the PORT arm and 180 patients in the observation arm (Figure 1 and eAppendix 1 in Supplement 2). The clinical features were well balanced between the 2 arms (Table 1).</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Figure 2A, Table 2). However, in a preplanned yet exploratory analysis, the DFS significantly differed after stratification according to the number of DLNs and PLNs (HR, 0.75; 95% CI, 0.58-0.98;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stratified HR, 0.92; 95% CI, 0.61-1.39;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=.70; Figure 2B, Table 2). The 3-year LRFS rates were 66.5% and 59.7%, respectively, with a significant difference between the 2 groups (HR, 0.71; 95% CI, 0.51-0.97;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Table 2). The 3-year DMFS rates were 42.0% and 38.2%, respectively (HR, 0.94; 95% CI, 0.72-1.22;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=.62; Table 2).</w:t>
      </w:r>
    </w:p>
    <w:p w14:paraId="1A2B3CF9" w14:textId="77777777" w:rsidR="00A1B2C3" w:rsidRDefault="00A1B2C3">
      <w:pPr>
        <w:spacing w:line="480" w:lineRule="auto"/>
        <w:ind w:firstLine="480"/>
        <w:jc w:val="both"/>
      </w:pPr>
      <w:r w:rsidRPr="00C4D5E6">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sidRPr="00C4D5E6">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Figure 2C, Table 2) and LRFS (3-year: 71.9% vs 58.4%; HR, 0.56; 95% CI, 0.39-0.80;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Table 2), but not OS (3-year: 82.6% vs 83.1%;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Figure 2D, Table 2) or DMFS (3-year: 43.6% vs 36.4%; HR, 0.85; 95% CI, 0.63-1.14;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sidRPr="00C4D5E6">
        <w:rPr>
          <w:rFonts w:ascii="Times New Roman" w:hAnsi="Times New Roman" w:eastAsia="宋体"/>
          <w:sz w:val="24"/>
          <w:szCs w:val="24"/>
        </w:rPr>
        <w:t xml:space="preserve">There is no high-level evidence supporting the benefit of PORT with 3D-CRT/IMRT after complete resection followed by adjuvant chemotherapy for patients with pIIIA-N2 NSCLC. In this PORT-C study, PORT did not prolong DFS in the unadjusted analysis in the mITT population. To the best of our knowledge, this is the first phase 3 RCT to complete patient accrual and meet its primary end point.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Pr>
          <w:rFonts w:ascii="Times New Roman" w:hAnsi="Times New Roman" w:eastAsia="宋体"/>
          <w:sz w:val="24"/>
          <w:szCs w:val="24"/>
        </w:rPr>
        <w:t xml:space="preserve">In the PORT-C study, PORT did not significantly improve OS in the mITT population (unadjusted HR, 1.02; 95% CI, 0.68-1.52), in the PP population (unadjusted HR, 0.83; 95% CI, 0.53-1.30), or in the AT population (unadjusted HR, 0.72; 95% CI, 0.48-1.09; Table 2). Importantly, the study was not powered to detect clinically meaningful differences, had any existed. Indeed, with a total of only 97 deaths, the power to detect the effects observed in the PP and AT populations was 15% and 33%,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