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Addition of Induction or Consolidation Chemotherapy in Definitive Concurrent Chemoradiotherapy Versus Concurrent Chemoradiotherapy Alone for Patients With Unresectable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Concurrent chemoradiotherapy (CCRT) has become the standard of care in esophageal carcinoma patients who are not surgical candidates. The efficacy of induction chemotherapy (IC) or consolidation chemotherapy (CCT) for unresectable esophageal cancer (EC) treated with CCRT is unclear. We performed a systematic review and meta-analysis of published papers to evaluate the potential benefit of IC or CCT for patients with EC.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Eligible studies of IC followed by CCRT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or CCRT followed by CCT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were retrieved through extensive searches of the PubMed, Science Direct, Embase, and Cochrane Library databases from the establishment of the database to July 31, 2021. Data such as 1-, 2-, 3-, and 5-year overall survival (OS), local recurrence rate (LRR), and distant metastasis rate (DMR) were collected for meta-analysis to evaluate the efficacy of IC/CCT.</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Four studies of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836 EC patients and six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1,339 patients with esophageal squamous cell carcinoma (ESCC) were finally identified in our analysis. Both IC-CCRT group [hazard ratio (HR) 0.446, 95% CI 0.286–0.693; p &lt; 0.001] and CCRT-CCT group (HR 0.542, 95% CI 0.410–0.716; p &lt; 0.001) exhibited statistically significant improvement in 1-year OS rate compared to that of CCRT, while the 2-year OS rate of IC-CCRT (HR 0.803, 95% CI 0.589–1.095; p = 0.166) or CCRT-CCT (HR 0.783, 95% CI 0.600–1.022; p = 0.072) was similar with that of CCRT. And the 3-year OS rate between IC-CCRT and CCRT was similar (HR 1.065, 95% CI 0.789–1.439; p = 0.680). However, comparing with CCRT alone, the CCRT-CCT group had lower DMR [odds ratio (OR) 1.562, 95% CI 1.090–2.240; p = 0.015] and higher 3-year OS rate (HR 0.786, 95% CI 0.625–0.987; p = 0.039). Besides, no differences were observed between the CCRT-CCT and CCRT groups in 5-year OS rate (HR 0.923, 95% CI 0.706–1.205; p = 0.555) and LRR (OR 0.899, 95% CI 0.686–1.179; p = 0.441).</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The study revealed the short-time survival benefit of additional IC or CCT compared to CCRT alone for patients with unresectable EC, and CCRT followed by CCT could significantly reduce the risk of distant metastases.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concurrent chemoradiotherapy, induction chemotherapy, consolidation chemotherapy, meta-analysis, esophageal cancer</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Pr>
          <w:rFonts w:ascii="Times New Roman" w:hAnsi="Times New Roman" w:eastAsia="宋体"/>
          <w:sz w:val="24"/>
          <w:szCs w:val="24"/>
        </w:rPr>
        <w:t xml:space="preserve">Radiotherapy plays an important role in the comprehensive treatment of esophageal carcinoma. The RTOG 85-01 trial has demonstrated that concurrent chemoradiotherapy (CCRT) is superior to radiation alone, with a favorable long-term survival for nonoperative esophageal cancer (EC) patients ([1]). Although CCRT is the standard treatment for patients with locally advanced disease who are not surgical candidates or refuse surgery, the local recurrence rate (LRR) of CCRT remains up to 40%–60%, and the 5-year survival rate is extremely low once recurrence occurs ([2], [3]). Therefore, several intensified treatment modalities have been attempted to improve treatment outcomes, such as the addition of induction chemotherapy (IC) or consolidation chemotherapy (CCT). In this setting, a propensity score-matched analysis of 812 patients with stage II–III esophageal squamous cell carcinoma (262 matched pairs) reported by Chen et al. showed that consolidation chemotherapy with cisplatin and 5-fluorouracil after CCRT did not prolong median progression-free survival (25.4 vs. 23.0 months; HR 0.93, 95% CI 0.74–1.15; p = 0.491) or median overall survival (35.0 vs. 34.6 months; HR 0.92, 95% CI 0.80–1.27; p = 0.919) compared with CCRT alone, and distant failure rates were similar (8.8% vs. 10.7%) </w:t>
      </w:r>
      <w:r>
        <w:rPr>
          <w:rFonts w:ascii="Times New Roman" w:hAnsi="Times New Roman" w:eastAsia="宋体"/>
          <w:sz w:val="24"/>
          <w:szCs w:val="24"/>
          <w:vertAlign w:val="superscript"/>
        </w:rPr>
        <w:t>[1]</w:t>
      </w:r>
      <w:r>
        <w:rPr>
          <w:rFonts w:ascii="Times New Roman" w:hAnsi="Times New Roman" w:eastAsia="宋体"/>
          <w:sz w:val="24"/>
          <w:szCs w:val="24"/>
        </w:rPr>
        <w:t xml:space="preserve">.</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Theoretically, the additional IC followed by CCRT (IC-CCRT) has potential benefit on response rate, early eradication of micrometastases, increased tumor radiosensitivity, and even prolonged overall survival (OS) because of tumor shrinkage ([4]). Byfield et al. ([5]) conducted the first clinical trial of IC followed by radiotherapy alone for EC patients in the 1980s, which achieved inspiring results. In contrast, Chen et al. ([6]) concluded that the additional IC failed to prolong OS, locoregional failure-free survival, or distant failure-free survival compared with CCRT alone.</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CCT is defined as prolonged chemotherapy duration by administration of additional drugs at the end of a defined number of initial chemotherapy cycles after achieving a maximum tumor response in an individual patient. The rationale for CCT is based on a hypothesis stating that the early use of non-cross-resistant agents might increase the probability of killing more cancer cells ([7]). To date, several studies have been conducted to explore the efficacy of CCT for non-small-cell lung cancer patients, which all demonstrated that these management strategies were ineffective ([8]–[10]). Actually, patients received CCT following CCRT in RTOG 85-01 trials ([1]); the reason why RTOG investigators added CCT to CRT had not been clarified. Up to now, the reports on CCRT followed by CCT (CCRT-CCT) were rare for EC patients, and the results were conflicting.</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Due to a few publications, inconsistent conclusions, and lack of prospective randomized controlled studies, the value of the addition of IC or CCT for EC patients remains controversial. Thus, our study aimed to evaluate the outcomes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in unresectable EC by means of a systematic review and meta-analysis, which could further provide better clinical guidance for the treatment of EC.</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PubMed, Science Direct, Embase, and Cochrane Library databases were searched from their inception to July 31, 2021. Search keywords included “esophageal or oesophageal” and “carcinoma or cancer or neoplasm” and “induction chemotherapy or neoadjuvant chemotherapy” and “consolidation or adjuvant chemoradiotherapy” and “concurrent or definitive chemoradiotherapy.” Additional papers were retrieved through hand-searching. The search was limited to human subjects and English-language published articles.</w:t>
      </w:r>
    </w:p>
    <w:p w14:paraId="1A2B3C10" w14:textId="77777777" w:rsidR="00A1B2C3" w:rsidRDefault="00A1B2C3">
      <w:pPr>
        <w:pStyle w:val="Heading3"/>
      </w:pPr>
      <w:r w:rsidRPr="00C4D5E6">
        <w:rPr>
          <w:rFonts w:ascii="Times New Roman" w:hAnsi="Times New Roman" w:eastAsia="宋体"/>
          <w:sz w:val="24"/>
          <w:szCs w:val="24"/>
        </w:rPr>
        <w:t xml:space="preserve">Inclusion Criteria and Exclusion Criteria</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criteria included the following: (1) studies that involved patients who had unresectable EC; (2) studies comparing the effects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(3) the hazard ratio (HR), odds ratio (OR), and 95% confidence intervals (CIs) in these studies were reported or could be calculated; (4) randomized controlled trials (RCTs) and cohort studies.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exclusion criteria included the following: (1) studies that did not include survival data as endpoints; (2) studies whose patients underwent sequential treatments, neoadjuvant or adjuvant CRT combined with surgery, palliative CRT or radiotherapy alone; (3) studies only published as a letter or conference paper; (4) repeated reports on survival data of the same population; (5) studies that involved specific elderly population.</w:t>
      </w:r>
    </w:p>
    <w:p w14:paraId="1A2B3C13" w14:textId="77777777" w:rsidR="00A1B2C3" w:rsidRDefault="00A1B2C3">
      <w:pPr>
        <w:pStyle w:val="Heading3"/>
      </w:pPr>
      <w:r w:rsidRPr="00C4D5E6">
        <w:rPr>
          <w:rFonts w:ascii="Times New Roman" w:hAnsi="Times New Roman" w:eastAsia="宋体"/>
          <w:sz w:val="24"/>
          <w:szCs w:val="24"/>
        </w:rPr>
        <w:t xml:space="preserve">Quality Evaluation</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Case-control study evaluation guidelines were applied in order to evaluate the quality of each manuscript for the following criteria: 1) whether gender, age, and tumor location were clearly stated; 2) whether the comparability of the two groups was analyzed; 3) whether the statistical method was appropriate; 4) whether the test was designed as a prospective randomized control study; 5) whether biases were discussed in the study. A score was assigned for each of the five items, with a total score of ≥3 indicative of reliable quality. Two researchers independently reviewed the literature according to the unified quality standard, with results cross-checked. If there were some different opinions, a third researcher would be invited to solve the disagreement. The systematic review was conducted in accordance with the Preferred Reporting Items for Systematic Reviews and Meta-Analyses (PRISMA) guidelines ([11]).</w:t>
      </w:r>
    </w:p>
    <w:p w14:paraId="1A2B3C15" w14:textId="77777777" w:rsidR="00A1B2C3" w:rsidRDefault="00A1B2C3">
      <w:pPr>
        <w:pStyle w:val="Heading3"/>
      </w:pPr>
      <w:r w:rsidRPr="00C4D5E6">
        <w:rPr>
          <w:rFonts w:ascii="Times New Roman" w:hAnsi="Times New Roman" w:eastAsia="宋体"/>
          <w:sz w:val="24"/>
          <w:szCs w:val="24"/>
        </w:rPr>
        <w:t xml:space="preserve">Outcome Measures</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outcome measures of this study were 1-, 2-, 3-, and 5-year OS rate, LRR, and distant metastasis rate (DMR) to examine the efficiency of various management strategies.</w:t>
      </w:r>
    </w:p>
    <w:p w14:paraId="1A2B3C17" w14:textId="77777777" w:rsidR="00A1B2C3" w:rsidRDefault="00A1B2C3">
      <w:pPr>
        <w:pStyle w:val="Heading3"/>
      </w:pPr>
      <w:r w:rsidRPr="00C4D5E6">
        <w:rPr>
          <w:rFonts w:ascii="Times New Roman" w:hAnsi="Times New Roman" w:eastAsia="宋体"/>
          <w:sz w:val="24"/>
          <w:szCs w:val="24"/>
        </w:rPr>
        <w:t xml:space="preserve">Statistical Analysis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Data were analyzed using Stata version 12.0. HR, OR, and 95% CI were used to measure the effect. Heterogeneity was assessed using the Q test. Statistical significance was set at p &lt; 0.05. If there was a significant heterogeneity (p ≤ 0.05), the random-effects model was adopted; otherwise, a fixed-effects model was used (p &gt; 0.05). The combined effect size was tested by the z test. Funnel plots were created to evaluate the risk of publication bias.</w:t>
      </w:r>
    </w:p>
    <w:p w14:paraId="1A2B3C19" w14:textId="77777777" w:rsidR="00A1B2C3" w:rsidRDefault="00A1B2C3">
      <w:pPr>
        <w:pStyle w:val="Heading2"/>
      </w:pPr>
      <w:r w:rsidRPr="00C4D5E6">
        <w:rPr>
          <w:rFonts w:ascii="Times New Roman" w:hAnsi="Times New Roman" w:eastAsia="宋体"/>
          <w:sz w:val="24"/>
          <w:szCs w:val="24"/>
        </w:rPr>
        <w:t xml:space="preserve">Results</w:t>
      </w:r>
    </w:p>
    <w:p w14:paraId="1A2B3C1A" w14:textId="77777777" w:rsidR="00A1B2C3" w:rsidRDefault="00A1B2C3">
      <w:pPr>
        <w:pStyle w:val="Heading3"/>
      </w:pPr>
      <w:r w:rsidRPr="00C4D5E6">
        <w:rPr>
          <w:rFonts w:ascii="Times New Roman" w:hAnsi="Times New Roman" w:eastAsia="宋体"/>
          <w:sz w:val="24"/>
          <w:szCs w:val="24"/>
        </w:rPr>
        <w:t xml:space="preserve">Literature Search and Study Selection</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After excluding 2,340 articles from a total of 2,350 citations, finally, 10 articles were subjected to our meta-analysis. A detailed study flow diagram is shown in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Among the 10 articles, there were four studies including three retrospective studies and one prospective study that compared IC-CCRT with CCRT and six other retrospective studies that compared CCRT-CCT with CCRT ([6], [12]–[20]) (</w:t>
      </w:r>
      <w:r w:rsidRPr="00C4D5E6">
        <w:rPr>
          <w:b/>
          <w:rFonts w:ascii="Times New Roman" w:hAnsi="Times New Roman" w:eastAsia="宋体"/>
          <w:sz w:val="24"/>
          <w:szCs w:val="24"/>
        </w:rPr>
        <w:t xml:space="preserve">Tables 1</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2</w:t>
      </w:r>
      <w:r w:rsidRPr="00C4D5E6">
        <w:rPr>
          <w:rFonts w:ascii="Times New Roman" w:hAnsi="Times New Roman" w:eastAsia="宋体"/>
          <w:sz w:val="24"/>
          <w:szCs w:val="24"/>
        </w:rPr>
        <w:t xml:space="preserve">). The number of patients within these four studies on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was 836, including 486 esophageal squamous cell carcinoma (ESCC) patients and 350 esophageal adenocarcinoma (EAC) patients. A total of 1,339 patients were included in the six other studies on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whose pathological types were all ESCC.</w:t>
      </w:r>
    </w:p>
    <w:p w14:paraId="1A2B3C1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Study selection process.</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Basic characteristics of the included studies (IC-CCRT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E" w14:textId="77777777" w:rsidR="00A1B2C3" w:rsidRDefault="00A1B2C3">
            <w:r w:rsidRPr="00C4D5E6">
              <w:rPr>
                <w:rFonts w:ascii="Times New Roman" w:hAnsi="Times New Roman" w:eastAsia="宋体"/>
                <w:sz w:val="24"/>
                <w:szCs w:val="24"/>
              </w:rPr>
              <w:t xml:space="preserve">Author</w:t>
            </w:r>
          </w:p>
        </w:tc>
        <w:tc>
          <w:tcPr>
            <w:tcW w:w="900" w:type="dxa"/>
          </w:tcPr>
          <w:p w14:paraId="1A2B3C1F" w14:textId="77777777" w:rsidR="00A1B2C3" w:rsidRDefault="00A1B2C3">
            <w:r w:rsidRPr="00C4D5E6">
              <w:rPr>
                <w:rFonts w:ascii="Times New Roman" w:hAnsi="Times New Roman" w:eastAsia="宋体"/>
                <w:sz w:val="24"/>
                <w:szCs w:val="24"/>
              </w:rPr>
              <w:t xml:space="preserve">Year</w:t>
            </w:r>
          </w:p>
        </w:tc>
        <w:tc>
          <w:tcPr>
            <w:tcW w:w="900" w:type="dxa"/>
          </w:tcPr>
          <w:p w14:paraId="1A2B3C20" w14:textId="77777777" w:rsidR="00A1B2C3" w:rsidRDefault="00A1B2C3">
            <w:r w:rsidRPr="00C4D5E6">
              <w:rPr>
                <w:rFonts w:ascii="Times New Roman" w:hAnsi="Times New Roman" w:eastAsia="宋体"/>
                <w:sz w:val="24"/>
                <w:szCs w:val="24"/>
              </w:rPr>
              <w:t xml:space="preserve">Stage</w:t>
            </w:r>
          </w:p>
        </w:tc>
        <w:tc>
          <w:tcPr>
            <w:tcW w:w="900" w:type="dxa"/>
          </w:tcPr>
          <w:p w14:paraId="1A2B3C21" w14:textId="77777777" w:rsidR="00A1B2C3" w:rsidRDefault="00A1B2C3">
            <w:r w:rsidRPr="00C4D5E6">
              <w:rPr>
                <w:rFonts w:ascii="Times New Roman" w:hAnsi="Times New Roman" w:eastAsia="宋体"/>
                <w:sz w:val="24"/>
                <w:szCs w:val="24"/>
              </w:rPr>
              <w:t xml:space="preserve">ESCC /EAC</w:t>
            </w:r>
          </w:p>
        </w:tc>
        <w:tc>
          <w:tcPr>
            <w:tcW w:w="900" w:type="dxa"/>
          </w:tcPr>
          <w:p w14:paraId="1A2B3C22" w14:textId="77777777" w:rsidR="00A1B2C3" w:rsidRDefault="00A1B2C3">
            <w:r w:rsidRPr="00C4D5E6">
              <w:rPr>
                <w:rFonts w:ascii="Times New Roman" w:hAnsi="Times New Roman" w:eastAsia="宋体"/>
                <w:sz w:val="24"/>
                <w:szCs w:val="24"/>
              </w:rPr>
              <w:t xml:space="preserve">IC-CCRT/ CCRT alone</w:t>
            </w:r>
          </w:p>
        </w:tc>
        <w:tc>
          <w:tcPr>
            <w:tcW w:w="900" w:type="dxa"/>
          </w:tcPr>
          <w:p w14:paraId="1A2B3C23"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24"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25" w14:textId="77777777" w:rsidR="00A1B2C3" w:rsidRDefault="00A1B2C3">
            <w:r w:rsidRPr="00C4D5E6">
              <w:rPr>
                <w:rFonts w:ascii="Times New Roman" w:hAnsi="Times New Roman" w:eastAsia="宋体"/>
                <w:sz w:val="24"/>
                <w:szCs w:val="24"/>
              </w:rPr>
              <w:t xml:space="preserve">Induction chemotherapy</w:t>
            </w:r>
          </w:p>
        </w:tc>
        <w:tc>
          <w:tcPr>
            <w:tcW w:w="900" w:type="dxa"/>
          </w:tcPr>
          <w:p w14:paraId="1A2B3C26" w14:textId="77777777" w:rsidR="00A1B2C3" w:rsidRDefault="00A1B2C3">
            <w:r w:rsidRPr="00C4D5E6">
              <w:rPr>
                <w:rFonts w:ascii="Times New Roman" w:hAnsi="Times New Roman" w:eastAsia="宋体"/>
                <w:sz w:val="24"/>
                <w:szCs w:val="24"/>
              </w:rPr>
              <w:t xml:space="preserve">The cycles of IC</w:t>
            </w:r>
          </w:p>
        </w:tc>
        <w:tc>
          <w:tcPr>
            <w:tcW w:w="900" w:type="dxa"/>
          </w:tcPr>
          <w:p w14:paraId="1A2B3C27"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28" w14:textId="77777777" w:rsidR="00A1B2C3" w:rsidRDefault="00A1B2C3">
            <w:r w:rsidRPr="00C4D5E6">
              <w:rPr>
                <w:rFonts w:ascii="Times New Roman" w:hAnsi="Times New Roman" w:eastAsia="宋体"/>
                <w:sz w:val="24"/>
                <w:szCs w:val="24"/>
              </w:rPr>
              <w:t xml:space="preserve">Chen et al. ([6])</w:t>
            </w:r>
          </w:p>
        </w:tc>
        <w:tc>
          <w:tcPr>
            <w:tcW w:w="900" w:type="dxa"/>
          </w:tcPr>
          <w:p w14:paraId="1A2B3C29" w14:textId="77777777" w:rsidR="00A1B2C3" w:rsidRDefault="00A1B2C3">
            <w:r w:rsidRPr="00C4D5E6">
              <w:rPr>
                <w:rFonts w:ascii="Times New Roman" w:hAnsi="Times New Roman" w:eastAsia="宋体"/>
                <w:sz w:val="24"/>
                <w:szCs w:val="24"/>
              </w:rPr>
              <w:t xml:space="preserve">2017</w:t>
            </w:r>
          </w:p>
        </w:tc>
        <w:tc>
          <w:tcPr>
            <w:tcW w:w="900" w:type="dxa"/>
          </w:tcPr>
          <w:p w14:paraId="1A2B3C2A" w14:textId="77777777" w:rsidR="00A1B2C3" w:rsidRDefault="00A1B2C3">
            <w:r w:rsidRPr="00C4D5E6">
              <w:rPr>
                <w:rFonts w:ascii="Times New Roman" w:hAnsi="Times New Roman" w:eastAsia="宋体"/>
                <w:sz w:val="24"/>
                <w:szCs w:val="24"/>
              </w:rPr>
              <w:t xml:space="preserve">II–IV</w:t>
            </w:r>
          </w:p>
        </w:tc>
        <w:tc>
          <w:tcPr>
            <w:tcW w:w="900" w:type="dxa"/>
          </w:tcPr>
          <w:p w14:paraId="1A2B3C2B" w14:textId="77777777" w:rsidR="00A1B2C3" w:rsidRDefault="00A1B2C3">
            <w:r w:rsidRPr="00C4D5E6">
              <w:rPr>
                <w:rFonts w:ascii="Times New Roman" w:hAnsi="Times New Roman" w:eastAsia="宋体"/>
                <w:sz w:val="24"/>
                <w:szCs w:val="24"/>
              </w:rPr>
              <w:t xml:space="preserve">60/0</w:t>
            </w:r>
          </w:p>
        </w:tc>
        <w:tc>
          <w:tcPr>
            <w:tcW w:w="900" w:type="dxa"/>
          </w:tcPr>
          <w:p w14:paraId="1A2B3C2C" w14:textId="77777777" w:rsidR="00A1B2C3" w:rsidRDefault="00A1B2C3">
            <w:r w:rsidRPr="00C4D5E6">
              <w:rPr>
                <w:rFonts w:ascii="Times New Roman" w:hAnsi="Times New Roman" w:eastAsia="宋体"/>
                <w:sz w:val="24"/>
                <w:szCs w:val="24"/>
              </w:rPr>
              <w:t xml:space="preserve">41/19</w:t>
            </w:r>
          </w:p>
        </w:tc>
        <w:tc>
          <w:tcPr>
            <w:tcW w:w="900" w:type="dxa"/>
          </w:tcPr>
          <w:p w14:paraId="1A2B3C2D" w14:textId="77777777" w:rsidR="00A1B2C3" w:rsidRDefault="00A1B2C3">
            <w:r w:rsidRPr="00C4D5E6">
              <w:rPr>
                <w:rFonts w:ascii="Times New Roman" w:hAnsi="Times New Roman" w:eastAsia="宋体"/>
                <w:sz w:val="24"/>
                <w:szCs w:val="24"/>
              </w:rPr>
              <w:t xml:space="preserve">50.4–66</w:t>
            </w:r>
          </w:p>
        </w:tc>
        <w:tc>
          <w:tcPr>
            <w:tcW w:w="900" w:type="dxa"/>
          </w:tcPr>
          <w:p w14:paraId="1A2B3C2E" w14:textId="77777777" w:rsidR="00A1B2C3" w:rsidRDefault="00A1B2C3">
            <w:r w:rsidRPr="00C4D5E6">
              <w:rPr>
                <w:rFonts w:ascii="Times New Roman" w:hAnsi="Times New Roman" w:eastAsia="宋体"/>
                <w:sz w:val="24"/>
                <w:szCs w:val="24"/>
              </w:rPr>
              <w:t xml:space="preserve">PF/TP/P/C/F</w:t>
            </w:r>
          </w:p>
        </w:tc>
        <w:tc>
          <w:tcPr>
            <w:tcW w:w="900" w:type="dxa"/>
          </w:tcPr>
          <w:p w14:paraId="1A2B3C2F" w14:textId="77777777" w:rsidR="00A1B2C3" w:rsidRDefault="00A1B2C3">
            <w:r w:rsidRPr="00C4D5E6">
              <w:rPr>
                <w:rFonts w:ascii="Times New Roman" w:hAnsi="Times New Roman" w:eastAsia="宋体"/>
                <w:sz w:val="24"/>
                <w:szCs w:val="24"/>
              </w:rPr>
              <w:t xml:space="preserve">PF/TP/C</w:t>
            </w:r>
          </w:p>
        </w:tc>
        <w:tc>
          <w:tcPr>
            <w:tcW w:w="900" w:type="dxa"/>
          </w:tcPr>
          <w:p w14:paraId="1A2B3C30" w14:textId="77777777" w:rsidR="00A1B2C3" w:rsidRDefault="00A1B2C3">
            <w:r w:rsidRPr="00C4D5E6">
              <w:rPr>
                <w:rFonts w:ascii="Times New Roman" w:hAnsi="Times New Roman" w:eastAsia="宋体"/>
                <w:sz w:val="24"/>
                <w:szCs w:val="24"/>
              </w:rPr>
              <w:t xml:space="preserve">1–3</w:t>
            </w:r>
          </w:p>
        </w:tc>
        <w:tc>
          <w:tcPr>
            <w:tcW w:w="900" w:type="dxa"/>
          </w:tcPr>
          <w:p w14:paraId="1A2B3C31" w14:textId="77777777" w:rsidR="00A1B2C3" w:rsidRDefault="00A1B2C3">
            <w:r w:rsidRPr="00C4D5E6">
              <w:rPr>
                <w:rFonts w:ascii="Times New Roman" w:hAnsi="Times New Roman" w:eastAsia="宋体"/>
                <w:sz w:val="24"/>
                <w:szCs w:val="24"/>
              </w:rPr>
              <w:t xml:space="preserve">4</w:t>
            </w:r>
          </w:p>
        </w:tc>
      </w:tr>
      <w:tr>
        <w:tc>
          <w:tcPr>
            <w:tcW w:w="900" w:type="dxa"/>
          </w:tcPr>
          <w:p w14:paraId="1A2B3C32" w14:textId="77777777" w:rsidR="00A1B2C3" w:rsidRDefault="00A1B2C3">
            <w:r w:rsidRPr="00C4D5E6">
              <w:rPr>
                <w:rFonts w:ascii="Times New Roman" w:hAnsi="Times New Roman" w:eastAsia="宋体"/>
                <w:sz w:val="24"/>
                <w:szCs w:val="24"/>
              </w:rPr>
              <w:t xml:space="preserve">Luo et al. ([12])</w:t>
            </w:r>
          </w:p>
        </w:tc>
        <w:tc>
          <w:tcPr>
            <w:tcW w:w="900" w:type="dxa"/>
          </w:tcPr>
          <w:p w14:paraId="1A2B3C33" w14:textId="77777777" w:rsidR="00A1B2C3" w:rsidRDefault="00A1B2C3">
            <w:r w:rsidRPr="00C4D5E6">
              <w:rPr>
                <w:rFonts w:ascii="Times New Roman" w:hAnsi="Times New Roman" w:eastAsia="宋体"/>
                <w:sz w:val="24"/>
                <w:szCs w:val="24"/>
              </w:rPr>
              <w:t xml:space="preserve">2017</w:t>
            </w:r>
          </w:p>
        </w:tc>
        <w:tc>
          <w:tcPr>
            <w:tcW w:w="900" w:type="dxa"/>
          </w:tcPr>
          <w:p w14:paraId="1A2B3C34" w14:textId="77777777" w:rsidR="00A1B2C3" w:rsidRDefault="00A1B2C3">
            <w:r w:rsidRPr="00C4D5E6">
              <w:rPr>
                <w:rFonts w:ascii="Times New Roman" w:hAnsi="Times New Roman" w:eastAsia="宋体"/>
                <w:sz w:val="24"/>
                <w:szCs w:val="24"/>
              </w:rPr>
              <w:t xml:space="preserve">III–IV</w:t>
            </w:r>
          </w:p>
        </w:tc>
        <w:tc>
          <w:tcPr>
            <w:tcW w:w="900" w:type="dxa"/>
          </w:tcPr>
          <w:p w14:paraId="1A2B3C35" w14:textId="77777777" w:rsidR="00A1B2C3" w:rsidRDefault="00A1B2C3">
            <w:r w:rsidRPr="00C4D5E6">
              <w:rPr>
                <w:rFonts w:ascii="Times New Roman" w:hAnsi="Times New Roman" w:eastAsia="宋体"/>
                <w:sz w:val="24"/>
                <w:szCs w:val="24"/>
              </w:rPr>
              <w:t xml:space="preserve">170/0</w:t>
            </w:r>
          </w:p>
        </w:tc>
        <w:tc>
          <w:tcPr>
            <w:tcW w:w="900" w:type="dxa"/>
          </w:tcPr>
          <w:p w14:paraId="1A2B3C36" w14:textId="77777777" w:rsidR="00A1B2C3" w:rsidRDefault="00A1B2C3">
            <w:r w:rsidRPr="00C4D5E6">
              <w:rPr>
                <w:rFonts w:ascii="Times New Roman" w:hAnsi="Times New Roman" w:eastAsia="宋体"/>
                <w:sz w:val="24"/>
                <w:szCs w:val="24"/>
              </w:rPr>
              <w:t xml:space="preserve">85/85</w:t>
            </w:r>
          </w:p>
        </w:tc>
        <w:tc>
          <w:tcPr>
            <w:tcW w:w="900" w:type="dxa"/>
          </w:tcPr>
          <w:p w14:paraId="1A2B3C37" w14:textId="77777777" w:rsidR="00A1B2C3" w:rsidRDefault="00A1B2C3">
            <w:r w:rsidRPr="00C4D5E6">
              <w:rPr>
                <w:rFonts w:ascii="Times New Roman" w:hAnsi="Times New Roman" w:eastAsia="宋体"/>
                <w:sz w:val="24"/>
                <w:szCs w:val="24"/>
              </w:rPr>
              <w:t xml:space="preserve">60 (50–70)</w:t>
            </w:r>
          </w:p>
        </w:tc>
        <w:tc>
          <w:tcPr>
            <w:tcW w:w="900" w:type="dxa"/>
          </w:tcPr>
          <w:p w14:paraId="1A2B3C38" w14:textId="77777777" w:rsidR="00A1B2C3" w:rsidRDefault="00A1B2C3">
            <w:r w:rsidRPr="00C4D5E6">
              <w:rPr>
                <w:rFonts w:ascii="Times New Roman" w:hAnsi="Times New Roman" w:eastAsia="宋体"/>
                <w:sz w:val="24"/>
                <w:szCs w:val="24"/>
              </w:rPr>
              <w:t xml:space="preserve">DP</w:t>
            </w:r>
          </w:p>
        </w:tc>
        <w:tc>
          <w:tcPr>
            <w:tcW w:w="900" w:type="dxa"/>
          </w:tcPr>
          <w:p w14:paraId="1A2B3C39" w14:textId="77777777" w:rsidR="00A1B2C3" w:rsidRDefault="00A1B2C3">
            <w:r w:rsidRPr="00C4D5E6">
              <w:rPr>
                <w:rFonts w:ascii="Times New Roman" w:hAnsi="Times New Roman" w:eastAsia="宋体"/>
                <w:sz w:val="24"/>
                <w:szCs w:val="24"/>
              </w:rPr>
              <w:t xml:space="preserve">DP</w:t>
            </w:r>
          </w:p>
        </w:tc>
        <w:tc>
          <w:tcPr>
            <w:tcW w:w="900" w:type="dxa"/>
          </w:tcPr>
          <w:p w14:paraId="1A2B3C3A" w14:textId="77777777" w:rsidR="00A1B2C3" w:rsidRDefault="00A1B2C3">
            <w:r w:rsidRPr="00C4D5E6">
              <w:rPr>
                <w:rFonts w:ascii="Times New Roman" w:hAnsi="Times New Roman" w:eastAsia="宋体"/>
                <w:sz w:val="24"/>
                <w:szCs w:val="24"/>
              </w:rPr>
              <w:t xml:space="preserve">2</w:t>
            </w:r>
          </w:p>
        </w:tc>
        <w:tc>
          <w:tcPr>
            <w:tcW w:w="900" w:type="dxa"/>
          </w:tcPr>
          <w:p w14:paraId="1A2B3C3B" w14:textId="77777777" w:rsidR="00A1B2C3" w:rsidRDefault="00A1B2C3">
            <w:r w:rsidRPr="00C4D5E6">
              <w:rPr>
                <w:rFonts w:ascii="Times New Roman" w:hAnsi="Times New Roman" w:eastAsia="宋体"/>
                <w:sz w:val="24"/>
                <w:szCs w:val="24"/>
              </w:rPr>
              <w:t xml:space="preserve">4</w:t>
            </w:r>
          </w:p>
        </w:tc>
      </w:tr>
      <w:tr>
        <w:tc>
          <w:tcPr>
            <w:tcW w:w="900" w:type="dxa"/>
          </w:tcPr>
          <w:p w14:paraId="1A2B3C3C" w14:textId="77777777" w:rsidR="00A1B2C3" w:rsidRDefault="00A1B2C3">
            <w:r w:rsidRPr="00C4D5E6">
              <w:rPr>
                <w:rFonts w:ascii="Times New Roman" w:hAnsi="Times New Roman" w:eastAsia="宋体"/>
                <w:sz w:val="24"/>
                <w:szCs w:val="24"/>
              </w:rPr>
              <w:t xml:space="preserve">Xi et al. ([13])</w:t>
            </w:r>
          </w:p>
        </w:tc>
        <w:tc>
          <w:tcPr>
            <w:tcW w:w="900" w:type="dxa"/>
          </w:tcPr>
          <w:p w14:paraId="1A2B3C3D" w14:textId="77777777" w:rsidR="00A1B2C3" w:rsidRDefault="00A1B2C3">
            <w:r w:rsidRPr="00C4D5E6">
              <w:rPr>
                <w:rFonts w:ascii="Times New Roman" w:hAnsi="Times New Roman" w:eastAsia="宋体"/>
                <w:sz w:val="24"/>
                <w:szCs w:val="24"/>
              </w:rPr>
              <w:t xml:space="preserve">2017</w:t>
            </w:r>
          </w:p>
        </w:tc>
        <w:tc>
          <w:tcPr>
            <w:tcW w:w="900" w:type="dxa"/>
          </w:tcPr>
          <w:p w14:paraId="1A2B3C3E" w14:textId="77777777" w:rsidR="00A1B2C3" w:rsidRDefault="00A1B2C3">
            <w:r w:rsidRPr="00C4D5E6">
              <w:rPr>
                <w:rFonts w:ascii="Times New Roman" w:hAnsi="Times New Roman" w:eastAsia="宋体"/>
                <w:sz w:val="24"/>
                <w:szCs w:val="24"/>
              </w:rPr>
              <w:t xml:space="preserve">IB–III</w:t>
            </w:r>
          </w:p>
        </w:tc>
        <w:tc>
          <w:tcPr>
            <w:tcW w:w="900" w:type="dxa"/>
          </w:tcPr>
          <w:p w14:paraId="1A2B3C3F" w14:textId="77777777" w:rsidR="00A1B2C3" w:rsidRDefault="00A1B2C3">
            <w:r w:rsidRPr="00C4D5E6">
              <w:rPr>
                <w:rFonts w:ascii="Times New Roman" w:hAnsi="Times New Roman" w:eastAsia="宋体"/>
                <w:sz w:val="24"/>
                <w:szCs w:val="24"/>
              </w:rPr>
              <w:t xml:space="preserve">146/350</w:t>
            </w:r>
          </w:p>
        </w:tc>
        <w:tc>
          <w:tcPr>
            <w:tcW w:w="900" w:type="dxa"/>
          </w:tcPr>
          <w:p w14:paraId="1A2B3C40" w14:textId="77777777" w:rsidR="00A1B2C3" w:rsidRDefault="00A1B2C3">
            <w:r w:rsidRPr="00C4D5E6">
              <w:rPr>
                <w:rFonts w:ascii="Times New Roman" w:hAnsi="Times New Roman" w:eastAsia="宋体"/>
                <w:sz w:val="24"/>
                <w:szCs w:val="24"/>
              </w:rPr>
              <w:t xml:space="preserve">162/334</w:t>
            </w:r>
          </w:p>
        </w:tc>
        <w:tc>
          <w:tcPr>
            <w:tcW w:w="900" w:type="dxa"/>
          </w:tcPr>
          <w:p w14:paraId="1A2B3C41" w14:textId="77777777" w:rsidR="00A1B2C3" w:rsidRDefault="00A1B2C3">
            <w:r w:rsidRPr="00C4D5E6">
              <w:rPr>
                <w:rFonts w:ascii="Times New Roman" w:hAnsi="Times New Roman" w:eastAsia="宋体"/>
                <w:sz w:val="24"/>
                <w:szCs w:val="24"/>
              </w:rPr>
              <w:t xml:space="preserve">50.4 (41.4–66)</w:t>
            </w:r>
          </w:p>
        </w:tc>
        <w:tc>
          <w:tcPr>
            <w:tcW w:w="900" w:type="dxa"/>
          </w:tcPr>
          <w:p w14:paraId="1A2B3C42" w14:textId="77777777" w:rsidR="00A1B2C3" w:rsidRDefault="00A1B2C3">
            <w:r w:rsidRPr="00C4D5E6">
              <w:rPr>
                <w:rFonts w:ascii="Times New Roman" w:hAnsi="Times New Roman" w:eastAsia="宋体"/>
                <w:sz w:val="24"/>
                <w:szCs w:val="24"/>
              </w:rPr>
              <w:t xml:space="preserve">PTF/PF/TP/TF</w:t>
            </w:r>
          </w:p>
        </w:tc>
        <w:tc>
          <w:tcPr>
            <w:tcW w:w="900" w:type="dxa"/>
          </w:tcPr>
          <w:p w14:paraId="1A2B3C43" w14:textId="77777777" w:rsidR="00A1B2C3" w:rsidRDefault="00A1B2C3">
            <w:r w:rsidRPr="00C4D5E6">
              <w:rPr>
                <w:rFonts w:ascii="Times New Roman" w:hAnsi="Times New Roman" w:eastAsia="宋体"/>
                <w:sz w:val="24"/>
                <w:szCs w:val="24"/>
              </w:rPr>
              <w:t xml:space="preserve">PTF/PF/TP/TF</w:t>
            </w:r>
          </w:p>
        </w:tc>
        <w:tc>
          <w:tcPr>
            <w:tcW w:w="900" w:type="dxa"/>
          </w:tcPr>
          <w:p w14:paraId="1A2B3C44" w14:textId="77777777" w:rsidR="00A1B2C3" w:rsidRDefault="00A1B2C3">
            <w:r w:rsidRPr="00C4D5E6">
              <w:rPr>
                <w:rFonts w:ascii="Times New Roman" w:hAnsi="Times New Roman" w:eastAsia="宋体"/>
                <w:sz w:val="24"/>
                <w:szCs w:val="24"/>
              </w:rPr>
              <w:t xml:space="preserve">2–4</w:t>
            </w:r>
          </w:p>
        </w:tc>
        <w:tc>
          <w:tcPr>
            <w:tcW w:w="900" w:type="dxa"/>
          </w:tcPr>
          <w:p w14:paraId="1A2B3C45" w14:textId="77777777" w:rsidR="00A1B2C3" w:rsidRDefault="00A1B2C3">
            <w:r w:rsidRPr="00C4D5E6">
              <w:rPr>
                <w:rFonts w:ascii="Times New Roman" w:hAnsi="Times New Roman" w:eastAsia="宋体"/>
                <w:sz w:val="24"/>
                <w:szCs w:val="24"/>
              </w:rPr>
              <w:t xml:space="preserve">4</w:t>
            </w:r>
          </w:p>
        </w:tc>
      </w:tr>
      <w:tr>
        <w:tc>
          <w:tcPr>
            <w:tcW w:w="900" w:type="dxa"/>
          </w:tcPr>
          <w:p w14:paraId="1A2B3C46" w14:textId="77777777" w:rsidR="00A1B2C3" w:rsidRDefault="00A1B2C3">
            <w:r w:rsidRPr="00C4D5E6">
              <w:rPr>
                <w:rFonts w:ascii="Times New Roman" w:hAnsi="Times New Roman" w:eastAsia="宋体"/>
                <w:sz w:val="24"/>
                <w:szCs w:val="24"/>
              </w:rPr>
              <w:t xml:space="preserve">Liu et al. ([14])</w:t>
            </w:r>
          </w:p>
        </w:tc>
        <w:tc>
          <w:tcPr>
            <w:tcW w:w="900" w:type="dxa"/>
          </w:tcPr>
          <w:p w14:paraId="1A2B3C47" w14:textId="77777777" w:rsidR="00A1B2C3" w:rsidRDefault="00A1B2C3">
            <w:r w:rsidRPr="00C4D5E6">
              <w:rPr>
                <w:rFonts w:ascii="Times New Roman" w:hAnsi="Times New Roman" w:eastAsia="宋体"/>
                <w:sz w:val="24"/>
                <w:szCs w:val="24"/>
              </w:rPr>
              <w:t xml:space="preserve">2021</w:t>
            </w:r>
          </w:p>
        </w:tc>
        <w:tc>
          <w:tcPr>
            <w:tcW w:w="900" w:type="dxa"/>
          </w:tcPr>
          <w:p w14:paraId="1A2B3C48" w14:textId="77777777" w:rsidR="00A1B2C3" w:rsidRDefault="00A1B2C3">
            <w:r w:rsidRPr="00C4D5E6">
              <w:rPr>
                <w:rFonts w:ascii="Times New Roman" w:hAnsi="Times New Roman" w:eastAsia="宋体"/>
                <w:sz w:val="24"/>
                <w:szCs w:val="24"/>
              </w:rPr>
              <w:t xml:space="preserve">IIA–IVA</w:t>
            </w:r>
          </w:p>
        </w:tc>
        <w:tc>
          <w:tcPr>
            <w:tcW w:w="900" w:type="dxa"/>
          </w:tcPr>
          <w:p w14:paraId="1A2B3C49" w14:textId="77777777" w:rsidR="00A1B2C3" w:rsidRDefault="00A1B2C3">
            <w:r w:rsidRPr="00C4D5E6">
              <w:rPr>
                <w:rFonts w:ascii="Times New Roman" w:hAnsi="Times New Roman" w:eastAsia="宋体"/>
                <w:sz w:val="24"/>
                <w:szCs w:val="24"/>
              </w:rPr>
              <w:t xml:space="preserve">110/0</w:t>
            </w:r>
          </w:p>
        </w:tc>
        <w:tc>
          <w:tcPr>
            <w:tcW w:w="900" w:type="dxa"/>
          </w:tcPr>
          <w:p w14:paraId="1A2B3C4A" w14:textId="77777777" w:rsidR="00A1B2C3" w:rsidRDefault="00A1B2C3">
            <w:r w:rsidRPr="00C4D5E6">
              <w:rPr>
                <w:rFonts w:ascii="Times New Roman" w:hAnsi="Times New Roman" w:eastAsia="宋体"/>
                <w:sz w:val="24"/>
                <w:szCs w:val="24"/>
              </w:rPr>
              <w:t xml:space="preserve">55/55</w:t>
            </w:r>
          </w:p>
        </w:tc>
        <w:tc>
          <w:tcPr>
            <w:tcW w:w="900" w:type="dxa"/>
          </w:tcPr>
          <w:p w14:paraId="1A2B3C4B" w14:textId="77777777" w:rsidR="00A1B2C3" w:rsidRDefault="00A1B2C3">
            <w:r w:rsidRPr="00C4D5E6">
              <w:rPr>
                <w:rFonts w:ascii="Times New Roman" w:hAnsi="Times New Roman" w:eastAsia="宋体"/>
                <w:sz w:val="24"/>
                <w:szCs w:val="24"/>
              </w:rPr>
              <w:t xml:space="preserve">60</w:t>
            </w:r>
          </w:p>
        </w:tc>
        <w:tc>
          <w:tcPr>
            <w:tcW w:w="900" w:type="dxa"/>
          </w:tcPr>
          <w:p w14:paraId="1A2B3C4C" w14:textId="77777777" w:rsidR="00A1B2C3" w:rsidRDefault="00A1B2C3">
            <w:r w:rsidRPr="00C4D5E6">
              <w:rPr>
                <w:rFonts w:ascii="Times New Roman" w:hAnsi="Times New Roman" w:eastAsia="宋体"/>
                <w:sz w:val="24"/>
                <w:szCs w:val="24"/>
              </w:rPr>
              <w:t xml:space="preserve">DP</w:t>
            </w:r>
          </w:p>
        </w:tc>
        <w:tc>
          <w:tcPr>
            <w:tcW w:w="900" w:type="dxa"/>
          </w:tcPr>
          <w:p w14:paraId="1A2B3C4D" w14:textId="77777777" w:rsidR="00A1B2C3" w:rsidRDefault="00A1B2C3">
            <w:r w:rsidRPr="00C4D5E6">
              <w:rPr>
                <w:rFonts w:ascii="Times New Roman" w:hAnsi="Times New Roman" w:eastAsia="宋体"/>
                <w:sz w:val="24"/>
                <w:szCs w:val="24"/>
              </w:rPr>
              <w:t xml:space="preserve">DP</w:t>
            </w:r>
          </w:p>
        </w:tc>
        <w:tc>
          <w:tcPr>
            <w:tcW w:w="900" w:type="dxa"/>
          </w:tcPr>
          <w:p w14:paraId="1A2B3C4E" w14:textId="77777777" w:rsidR="00A1B2C3" w:rsidRDefault="00A1B2C3">
            <w:r w:rsidRPr="00C4D5E6">
              <w:rPr>
                <w:rFonts w:ascii="Times New Roman" w:hAnsi="Times New Roman" w:eastAsia="宋体"/>
                <w:sz w:val="24"/>
                <w:szCs w:val="24"/>
              </w:rPr>
              <w:t xml:space="preserve">2</w:t>
            </w:r>
          </w:p>
        </w:tc>
        <w:tc>
          <w:tcPr>
            <w:tcW w:w="900" w:type="dxa"/>
          </w:tcPr>
          <w:p w14:paraId="1A2B3C4F" w14:textId="77777777" w:rsidR="00A1B2C3" w:rsidRDefault="00A1B2C3">
            <w:r w:rsidRPr="00C4D5E6">
              <w:rPr>
                <w:rFonts w:ascii="Times New Roman" w:hAnsi="Times New Roman" w:eastAsia="宋体"/>
                <w:sz w:val="24"/>
                <w:szCs w:val="24"/>
              </w:rPr>
              <w:t xml:space="preserve">5</w:t>
            </w:r>
          </w:p>
        </w:tc>
      </w:tr>
    </w:tbl>
    <w:p w14:paraId="1A2B3C50"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DP, docetaxel plus cisplatin; TF, platinum plus taxane; PF, platinum plus fluorouracil; C, capecitabine; PTF, fluoropyrimidine, platinum plus taxane; PF, platinum plus fluoropyrimidine; TP, platinum plus taxane; TF, fluoropyrimidine plus taxane; IC, induction chemotherapy; CCRT, concurrent chemoradiotherapy.</w:t>
      </w:r>
    </w:p>
    <w:p w14:paraId="1A2B3C5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Basic characteristics of the included studies (CCRT-CCT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52" w14:textId="77777777" w:rsidR="00A1B2C3" w:rsidRDefault="00A1B2C3">
            <w:r w:rsidRPr="00C4D5E6">
              <w:rPr>
                <w:rFonts w:ascii="Times New Roman" w:hAnsi="Times New Roman" w:eastAsia="宋体"/>
                <w:sz w:val="24"/>
                <w:szCs w:val="24"/>
              </w:rPr>
              <w:t xml:space="preserve">Author</w:t>
            </w:r>
          </w:p>
        </w:tc>
        <w:tc>
          <w:tcPr>
            <w:tcW w:w="900" w:type="dxa"/>
          </w:tcPr>
          <w:p w14:paraId="1A2B3C53" w14:textId="77777777" w:rsidR="00A1B2C3" w:rsidRDefault="00A1B2C3">
            <w:r w:rsidRPr="00C4D5E6">
              <w:rPr>
                <w:rFonts w:ascii="Times New Roman" w:hAnsi="Times New Roman" w:eastAsia="宋体"/>
                <w:sz w:val="24"/>
                <w:szCs w:val="24"/>
              </w:rPr>
              <w:t xml:space="preserve">Year</w:t>
            </w:r>
          </w:p>
        </w:tc>
        <w:tc>
          <w:tcPr>
            <w:tcW w:w="900" w:type="dxa"/>
          </w:tcPr>
          <w:p w14:paraId="1A2B3C54" w14:textId="77777777" w:rsidR="00A1B2C3" w:rsidRDefault="00A1B2C3">
            <w:r w:rsidRPr="00C4D5E6">
              <w:rPr>
                <w:rFonts w:ascii="Times New Roman" w:hAnsi="Times New Roman" w:eastAsia="宋体"/>
                <w:sz w:val="24"/>
                <w:szCs w:val="24"/>
              </w:rPr>
              <w:t xml:space="preserve">Stage</w:t>
            </w:r>
          </w:p>
        </w:tc>
        <w:tc>
          <w:tcPr>
            <w:tcW w:w="900" w:type="dxa"/>
          </w:tcPr>
          <w:p w14:paraId="1A2B3C55" w14:textId="77777777" w:rsidR="00A1B2C3" w:rsidRDefault="00A1B2C3">
            <w:r w:rsidRPr="00C4D5E6">
              <w:rPr>
                <w:rFonts w:ascii="Times New Roman" w:hAnsi="Times New Roman" w:eastAsia="宋体"/>
                <w:sz w:val="24"/>
                <w:szCs w:val="24"/>
              </w:rPr>
              <w:t xml:space="preserve">ESCC/EAC</w:t>
            </w:r>
          </w:p>
        </w:tc>
        <w:tc>
          <w:tcPr>
            <w:tcW w:w="900" w:type="dxa"/>
          </w:tcPr>
          <w:p w14:paraId="1A2B3C56" w14:textId="77777777" w:rsidR="00A1B2C3" w:rsidRDefault="00A1B2C3">
            <w:r w:rsidRPr="00C4D5E6">
              <w:rPr>
                <w:rFonts w:ascii="Times New Roman" w:hAnsi="Times New Roman" w:eastAsia="宋体"/>
                <w:sz w:val="24"/>
                <w:szCs w:val="24"/>
              </w:rPr>
              <w:t xml:space="preserve">CCRT-CCT/CCRT alone</w:t>
            </w:r>
          </w:p>
        </w:tc>
        <w:tc>
          <w:tcPr>
            <w:tcW w:w="900" w:type="dxa"/>
          </w:tcPr>
          <w:p w14:paraId="1A2B3C57"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58"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59" w14:textId="77777777" w:rsidR="00A1B2C3" w:rsidRDefault="00A1B2C3">
            <w:r w:rsidRPr="00C4D5E6">
              <w:rPr>
                <w:rFonts w:ascii="Times New Roman" w:hAnsi="Times New Roman" w:eastAsia="宋体"/>
                <w:sz w:val="24"/>
                <w:szCs w:val="24"/>
              </w:rPr>
              <w:t xml:space="preserve">CCT regimen</w:t>
            </w:r>
          </w:p>
        </w:tc>
        <w:tc>
          <w:tcPr>
            <w:tcW w:w="900" w:type="dxa"/>
          </w:tcPr>
          <w:p w14:paraId="1A2B3C5A" w14:textId="77777777" w:rsidR="00A1B2C3" w:rsidRDefault="00A1B2C3">
            <w:r w:rsidRPr="00C4D5E6">
              <w:rPr>
                <w:rFonts w:ascii="Times New Roman" w:hAnsi="Times New Roman" w:eastAsia="宋体"/>
                <w:sz w:val="24"/>
                <w:szCs w:val="24"/>
              </w:rPr>
              <w:t xml:space="preserve">The cycles of CCT</w:t>
            </w:r>
          </w:p>
        </w:tc>
        <w:tc>
          <w:tcPr>
            <w:tcW w:w="900" w:type="dxa"/>
          </w:tcPr>
          <w:p w14:paraId="1A2B3C5B"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5C" w14:textId="77777777" w:rsidR="00A1B2C3" w:rsidRDefault="00A1B2C3">
            <w:r w:rsidRPr="00C4D5E6">
              <w:rPr>
                <w:rFonts w:ascii="Times New Roman" w:hAnsi="Times New Roman" w:eastAsia="宋体"/>
                <w:sz w:val="24"/>
                <w:szCs w:val="24"/>
              </w:rPr>
              <w:t xml:space="preserve">Wu et al. ([15])</w:t>
            </w:r>
          </w:p>
        </w:tc>
        <w:tc>
          <w:tcPr>
            <w:tcW w:w="900" w:type="dxa"/>
          </w:tcPr>
          <w:p w14:paraId="1A2B3C5D" w14:textId="77777777" w:rsidR="00A1B2C3" w:rsidRDefault="00A1B2C3">
            <w:r w:rsidRPr="00C4D5E6">
              <w:rPr>
                <w:rFonts w:ascii="Times New Roman" w:hAnsi="Times New Roman" w:eastAsia="宋体"/>
                <w:sz w:val="24"/>
                <w:szCs w:val="24"/>
              </w:rPr>
              <w:t xml:space="preserve">2017</w:t>
            </w:r>
          </w:p>
        </w:tc>
        <w:tc>
          <w:tcPr>
            <w:tcW w:w="900" w:type="dxa"/>
          </w:tcPr>
          <w:p w14:paraId="1A2B3C5E" w14:textId="77777777" w:rsidR="00A1B2C3" w:rsidRDefault="00A1B2C3">
            <w:r w:rsidRPr="00C4D5E6">
              <w:rPr>
                <w:rFonts w:ascii="Times New Roman" w:hAnsi="Times New Roman" w:eastAsia="宋体"/>
                <w:sz w:val="24"/>
                <w:szCs w:val="24"/>
              </w:rPr>
              <w:t xml:space="preserve">I–III</w:t>
            </w:r>
          </w:p>
        </w:tc>
        <w:tc>
          <w:tcPr>
            <w:tcW w:w="900" w:type="dxa"/>
          </w:tcPr>
          <w:p w14:paraId="1A2B3C5F" w14:textId="77777777" w:rsidR="00A1B2C3" w:rsidRDefault="00A1B2C3">
            <w:r w:rsidRPr="00C4D5E6">
              <w:rPr>
                <w:rFonts w:ascii="Times New Roman" w:hAnsi="Times New Roman" w:eastAsia="宋体"/>
                <w:sz w:val="24"/>
                <w:szCs w:val="24"/>
              </w:rPr>
              <w:t xml:space="preserve">209/0</w:t>
            </w:r>
          </w:p>
        </w:tc>
        <w:tc>
          <w:tcPr>
            <w:tcW w:w="900" w:type="dxa"/>
          </w:tcPr>
          <w:p w14:paraId="1A2B3C60" w14:textId="77777777" w:rsidR="00A1B2C3" w:rsidRDefault="00A1B2C3">
            <w:r w:rsidRPr="00C4D5E6">
              <w:rPr>
                <w:rFonts w:ascii="Times New Roman" w:hAnsi="Times New Roman" w:eastAsia="宋体"/>
                <w:sz w:val="24"/>
                <w:szCs w:val="24"/>
              </w:rPr>
              <w:t xml:space="preserve">67/142</w:t>
            </w:r>
          </w:p>
        </w:tc>
        <w:tc>
          <w:tcPr>
            <w:tcW w:w="900" w:type="dxa"/>
          </w:tcPr>
          <w:p w14:paraId="1A2B3C61" w14:textId="77777777" w:rsidR="00A1B2C3" w:rsidRDefault="00A1B2C3">
            <w:r w:rsidRPr="00C4D5E6">
              <w:rPr>
                <w:rFonts w:ascii="Times New Roman" w:hAnsi="Times New Roman" w:eastAsia="宋体"/>
                <w:sz w:val="24"/>
                <w:szCs w:val="24"/>
              </w:rPr>
              <w:t xml:space="preserve">≥50.4</w:t>
            </w:r>
          </w:p>
        </w:tc>
        <w:tc>
          <w:tcPr>
            <w:tcW w:w="900" w:type="dxa"/>
          </w:tcPr>
          <w:p w14:paraId="1A2B3C62" w14:textId="77777777" w:rsidR="00A1B2C3" w:rsidRDefault="00A1B2C3">
            <w:r w:rsidRPr="00C4D5E6">
              <w:rPr>
                <w:rFonts w:ascii="Times New Roman" w:hAnsi="Times New Roman" w:eastAsia="宋体"/>
                <w:sz w:val="24"/>
                <w:szCs w:val="24"/>
              </w:rPr>
              <w:t xml:space="preserve">PF</w:t>
            </w:r>
          </w:p>
        </w:tc>
        <w:tc>
          <w:tcPr>
            <w:tcW w:w="900" w:type="dxa"/>
          </w:tcPr>
          <w:p w14:paraId="1A2B3C63" w14:textId="77777777" w:rsidR="00A1B2C3" w:rsidRDefault="00A1B2C3">
            <w:r w:rsidRPr="00C4D5E6">
              <w:rPr>
                <w:rFonts w:ascii="Times New Roman" w:hAnsi="Times New Roman" w:eastAsia="宋体"/>
                <w:sz w:val="24"/>
                <w:szCs w:val="24"/>
              </w:rPr>
              <w:t xml:space="preserve">PF/ND/DP</w:t>
            </w:r>
          </w:p>
        </w:tc>
        <w:tc>
          <w:tcPr>
            <w:tcW w:w="900" w:type="dxa"/>
          </w:tcPr>
          <w:p w14:paraId="1A2B3C64" w14:textId="77777777" w:rsidR="00A1B2C3" w:rsidRDefault="00A1B2C3">
            <w:r w:rsidRPr="00C4D5E6">
              <w:rPr>
                <w:rFonts w:ascii="Times New Roman" w:hAnsi="Times New Roman" w:eastAsia="宋体"/>
                <w:sz w:val="24"/>
                <w:szCs w:val="24"/>
              </w:rPr>
              <w:t xml:space="preserve">2</w:t>
            </w:r>
          </w:p>
        </w:tc>
        <w:tc>
          <w:tcPr>
            <w:tcW w:w="900" w:type="dxa"/>
          </w:tcPr>
          <w:p w14:paraId="1A2B3C65" w14:textId="77777777" w:rsidR="00A1B2C3" w:rsidRDefault="00A1B2C3">
            <w:r w:rsidRPr="00C4D5E6">
              <w:rPr>
                <w:rFonts w:ascii="Times New Roman" w:hAnsi="Times New Roman" w:eastAsia="宋体"/>
                <w:sz w:val="24"/>
                <w:szCs w:val="24"/>
              </w:rPr>
              <w:t xml:space="preserve">4</w:t>
            </w:r>
          </w:p>
        </w:tc>
      </w:tr>
      <w:tr>
        <w:tc>
          <w:tcPr>
            <w:tcW w:w="900" w:type="dxa"/>
          </w:tcPr>
          <w:p w14:paraId="1A2B3C66" w14:textId="77777777" w:rsidR="00A1B2C3" w:rsidRDefault="00A1B2C3">
            <w:r w:rsidRPr="00C4D5E6">
              <w:rPr>
                <w:rFonts w:ascii="Times New Roman" w:hAnsi="Times New Roman" w:eastAsia="宋体"/>
                <w:sz w:val="24"/>
                <w:szCs w:val="24"/>
              </w:rPr>
              <w:t xml:space="preserve">Chen et al. ([16])</w:t>
            </w:r>
          </w:p>
        </w:tc>
        <w:tc>
          <w:tcPr>
            <w:tcW w:w="900" w:type="dxa"/>
          </w:tcPr>
          <w:p w14:paraId="1A2B3C67" w14:textId="77777777" w:rsidR="00A1B2C3" w:rsidRDefault="00A1B2C3">
            <w:r w:rsidRPr="00C4D5E6">
              <w:rPr>
                <w:rFonts w:ascii="Times New Roman" w:hAnsi="Times New Roman" w:eastAsia="宋体"/>
                <w:sz w:val="24"/>
                <w:szCs w:val="24"/>
              </w:rPr>
              <w:t xml:space="preserve">2018</w:t>
            </w:r>
          </w:p>
        </w:tc>
        <w:tc>
          <w:tcPr>
            <w:tcW w:w="900" w:type="dxa"/>
          </w:tcPr>
          <w:p w14:paraId="1A2B3C68" w14:textId="77777777" w:rsidR="00A1B2C3" w:rsidRDefault="00A1B2C3">
            <w:r w:rsidRPr="00C4D5E6">
              <w:rPr>
                <w:rFonts w:ascii="Times New Roman" w:hAnsi="Times New Roman" w:eastAsia="宋体"/>
                <w:sz w:val="24"/>
                <w:szCs w:val="24"/>
              </w:rPr>
              <w:t xml:space="preserve">II–III</w:t>
            </w:r>
          </w:p>
        </w:tc>
        <w:tc>
          <w:tcPr>
            <w:tcW w:w="900" w:type="dxa"/>
          </w:tcPr>
          <w:p w14:paraId="1A2B3C69" w14:textId="77777777" w:rsidR="00A1B2C3" w:rsidRDefault="00A1B2C3">
            <w:r w:rsidRPr="00C4D5E6">
              <w:rPr>
                <w:rFonts w:ascii="Times New Roman" w:hAnsi="Times New Roman" w:eastAsia="宋体"/>
                <w:sz w:val="24"/>
                <w:szCs w:val="24"/>
              </w:rPr>
              <w:t xml:space="preserve">524/0</w:t>
            </w:r>
          </w:p>
        </w:tc>
        <w:tc>
          <w:tcPr>
            <w:tcW w:w="900" w:type="dxa"/>
          </w:tcPr>
          <w:p w14:paraId="1A2B3C6A" w14:textId="77777777" w:rsidR="00A1B2C3" w:rsidRDefault="00A1B2C3">
            <w:r w:rsidRPr="00C4D5E6">
              <w:rPr>
                <w:rFonts w:ascii="Times New Roman" w:hAnsi="Times New Roman" w:eastAsia="宋体"/>
                <w:sz w:val="24"/>
                <w:szCs w:val="24"/>
              </w:rPr>
              <w:t xml:space="preserve">262/262</w:t>
            </w:r>
          </w:p>
        </w:tc>
        <w:tc>
          <w:tcPr>
            <w:tcW w:w="900" w:type="dxa"/>
          </w:tcPr>
          <w:p w14:paraId="1A2B3C6B" w14:textId="77777777" w:rsidR="00A1B2C3" w:rsidRDefault="00A1B2C3">
            <w:r w:rsidRPr="00C4D5E6">
              <w:rPr>
                <w:rFonts w:ascii="Times New Roman" w:hAnsi="Times New Roman" w:eastAsia="宋体"/>
                <w:sz w:val="24"/>
                <w:szCs w:val="24"/>
              </w:rPr>
              <w:t xml:space="preserve">50.4–66</w:t>
            </w:r>
          </w:p>
        </w:tc>
        <w:tc>
          <w:tcPr>
            <w:tcW w:w="900" w:type="dxa"/>
          </w:tcPr>
          <w:p w14:paraId="1A2B3C6C" w14:textId="77777777" w:rsidR="00A1B2C3" w:rsidRDefault="00A1B2C3">
            <w:r w:rsidRPr="00C4D5E6">
              <w:rPr>
                <w:rFonts w:ascii="Times New Roman" w:hAnsi="Times New Roman" w:eastAsia="宋体"/>
                <w:sz w:val="24"/>
                <w:szCs w:val="24"/>
              </w:rPr>
              <w:t xml:space="preserve">PF</w:t>
            </w:r>
          </w:p>
        </w:tc>
        <w:tc>
          <w:tcPr>
            <w:tcW w:w="900" w:type="dxa"/>
          </w:tcPr>
          <w:p w14:paraId="1A2B3C6D" w14:textId="77777777" w:rsidR="00A1B2C3" w:rsidRDefault="00A1B2C3">
            <w:r w:rsidRPr="00C4D5E6">
              <w:rPr>
                <w:rFonts w:ascii="Times New Roman" w:hAnsi="Times New Roman" w:eastAsia="宋体"/>
                <w:sz w:val="24"/>
                <w:szCs w:val="24"/>
              </w:rPr>
              <w:t xml:space="preserve">PF</w:t>
            </w:r>
          </w:p>
        </w:tc>
        <w:tc>
          <w:tcPr>
            <w:tcW w:w="900" w:type="dxa"/>
          </w:tcPr>
          <w:p w14:paraId="1A2B3C6E" w14:textId="77777777" w:rsidR="00A1B2C3" w:rsidRDefault="00A1B2C3">
            <w:r w:rsidRPr="00C4D5E6">
              <w:rPr>
                <w:rFonts w:ascii="Times New Roman" w:hAnsi="Times New Roman" w:eastAsia="宋体"/>
                <w:sz w:val="24"/>
                <w:szCs w:val="24"/>
              </w:rPr>
              <w:t xml:space="preserve">2</w:t>
            </w:r>
          </w:p>
        </w:tc>
        <w:tc>
          <w:tcPr>
            <w:tcW w:w="900" w:type="dxa"/>
          </w:tcPr>
          <w:p w14:paraId="1A2B3C6F" w14:textId="77777777" w:rsidR="00A1B2C3" w:rsidRDefault="00A1B2C3">
            <w:r w:rsidRPr="00C4D5E6">
              <w:rPr>
                <w:rFonts w:ascii="Times New Roman" w:hAnsi="Times New Roman" w:eastAsia="宋体"/>
                <w:sz w:val="24"/>
                <w:szCs w:val="24"/>
              </w:rPr>
              <w:t xml:space="preserve">4</w:t>
            </w:r>
          </w:p>
        </w:tc>
      </w:tr>
      <w:tr>
        <w:tc>
          <w:tcPr>
            <w:tcW w:w="900" w:type="dxa"/>
          </w:tcPr>
          <w:p w14:paraId="1A2B3C70" w14:textId="77777777" w:rsidR="00A1B2C3" w:rsidRDefault="00A1B2C3">
            <w:r w:rsidRPr="00C4D5E6">
              <w:rPr>
                <w:rFonts w:ascii="Times New Roman" w:hAnsi="Times New Roman" w:eastAsia="宋体"/>
                <w:sz w:val="24"/>
                <w:szCs w:val="24"/>
              </w:rPr>
              <w:t xml:space="preserve">Chen et al. ([17])</w:t>
            </w:r>
          </w:p>
        </w:tc>
        <w:tc>
          <w:tcPr>
            <w:tcW w:w="900" w:type="dxa"/>
          </w:tcPr>
          <w:p w14:paraId="1A2B3C71" w14:textId="77777777" w:rsidR="00A1B2C3" w:rsidRDefault="00A1B2C3">
            <w:r w:rsidRPr="00C4D5E6">
              <w:rPr>
                <w:rFonts w:ascii="Times New Roman" w:hAnsi="Times New Roman" w:eastAsia="宋体"/>
                <w:sz w:val="24"/>
                <w:szCs w:val="24"/>
              </w:rPr>
              <w:t xml:space="preserve">2018</w:t>
            </w:r>
          </w:p>
        </w:tc>
        <w:tc>
          <w:tcPr>
            <w:tcW w:w="900" w:type="dxa"/>
          </w:tcPr>
          <w:p w14:paraId="1A2B3C72" w14:textId="77777777" w:rsidR="00A1B2C3" w:rsidRDefault="00A1B2C3">
            <w:r w:rsidRPr="00C4D5E6">
              <w:rPr>
                <w:rFonts w:ascii="Times New Roman" w:hAnsi="Times New Roman" w:eastAsia="宋体"/>
                <w:sz w:val="24"/>
                <w:szCs w:val="24"/>
              </w:rPr>
              <w:t xml:space="preserve">II–IVB</w:t>
            </w:r>
          </w:p>
        </w:tc>
        <w:tc>
          <w:tcPr>
            <w:tcW w:w="900" w:type="dxa"/>
          </w:tcPr>
          <w:p w14:paraId="1A2B3C73" w14:textId="77777777" w:rsidR="00A1B2C3" w:rsidRDefault="00A1B2C3">
            <w:r w:rsidRPr="00C4D5E6">
              <w:rPr>
                <w:rFonts w:ascii="Times New Roman" w:hAnsi="Times New Roman" w:eastAsia="宋体"/>
                <w:sz w:val="24"/>
                <w:szCs w:val="24"/>
              </w:rPr>
              <w:t xml:space="preserve">187/0</w:t>
            </w:r>
          </w:p>
        </w:tc>
        <w:tc>
          <w:tcPr>
            <w:tcW w:w="900" w:type="dxa"/>
          </w:tcPr>
          <w:p w14:paraId="1A2B3C74" w14:textId="77777777" w:rsidR="00A1B2C3" w:rsidRDefault="00A1B2C3">
            <w:r w:rsidRPr="00C4D5E6">
              <w:rPr>
                <w:rFonts w:ascii="Times New Roman" w:hAnsi="Times New Roman" w:eastAsia="宋体"/>
                <w:sz w:val="24"/>
                <w:szCs w:val="24"/>
              </w:rPr>
              <w:t xml:space="preserve">89/98</w:t>
            </w:r>
          </w:p>
        </w:tc>
        <w:tc>
          <w:tcPr>
            <w:tcW w:w="900" w:type="dxa"/>
          </w:tcPr>
          <w:p w14:paraId="1A2B3C75" w14:textId="77777777" w:rsidR="00A1B2C3" w:rsidRDefault="00A1B2C3">
            <w:r w:rsidRPr="00C4D5E6">
              <w:rPr>
                <w:rFonts w:ascii="Times New Roman" w:hAnsi="Times New Roman" w:eastAsia="宋体"/>
                <w:sz w:val="24"/>
                <w:szCs w:val="24"/>
              </w:rPr>
              <w:t xml:space="preserve">50–66</w:t>
            </w:r>
          </w:p>
        </w:tc>
        <w:tc>
          <w:tcPr>
            <w:tcW w:w="900" w:type="dxa"/>
          </w:tcPr>
          <w:p w14:paraId="1A2B3C76" w14:textId="77777777" w:rsidR="00A1B2C3" w:rsidRDefault="00A1B2C3">
            <w:r w:rsidRPr="00C4D5E6">
              <w:rPr>
                <w:rFonts w:ascii="Times New Roman" w:hAnsi="Times New Roman" w:eastAsia="宋体"/>
                <w:sz w:val="24"/>
                <w:szCs w:val="24"/>
              </w:rPr>
              <w:t xml:space="preserve">PF/TP</w:t>
            </w:r>
          </w:p>
        </w:tc>
        <w:tc>
          <w:tcPr>
            <w:tcW w:w="900" w:type="dxa"/>
          </w:tcPr>
          <w:p w14:paraId="1A2B3C77" w14:textId="77777777" w:rsidR="00A1B2C3" w:rsidRDefault="00A1B2C3">
            <w:r w:rsidRPr="00C4D5E6">
              <w:rPr>
                <w:rFonts w:ascii="Times New Roman" w:hAnsi="Times New Roman" w:eastAsia="宋体"/>
                <w:sz w:val="24"/>
                <w:szCs w:val="24"/>
              </w:rPr>
              <w:t xml:space="preserve">PF/TP</w:t>
            </w:r>
          </w:p>
        </w:tc>
        <w:tc>
          <w:tcPr>
            <w:tcW w:w="900" w:type="dxa"/>
          </w:tcPr>
          <w:p w14:paraId="1A2B3C78" w14:textId="77777777" w:rsidR="00A1B2C3" w:rsidRDefault="00A1B2C3">
            <w:r w:rsidRPr="00C4D5E6">
              <w:rPr>
                <w:rFonts w:ascii="Times New Roman" w:hAnsi="Times New Roman" w:eastAsia="宋体"/>
                <w:sz w:val="24"/>
                <w:szCs w:val="24"/>
              </w:rPr>
              <w:t xml:space="preserve">2 (1–4)</w:t>
            </w:r>
          </w:p>
        </w:tc>
        <w:tc>
          <w:tcPr>
            <w:tcW w:w="900" w:type="dxa"/>
          </w:tcPr>
          <w:p w14:paraId="1A2B3C79" w14:textId="77777777" w:rsidR="00A1B2C3" w:rsidRDefault="00A1B2C3">
            <w:r w:rsidRPr="00C4D5E6">
              <w:rPr>
                <w:rFonts w:ascii="Times New Roman" w:hAnsi="Times New Roman" w:eastAsia="宋体"/>
                <w:sz w:val="24"/>
                <w:szCs w:val="24"/>
              </w:rPr>
              <w:t xml:space="preserve">4</w:t>
            </w:r>
          </w:p>
        </w:tc>
      </w:tr>
      <w:tr>
        <w:tc>
          <w:tcPr>
            <w:tcW w:w="900" w:type="dxa"/>
          </w:tcPr>
          <w:p w14:paraId="1A2B3C7A" w14:textId="77777777" w:rsidR="00A1B2C3" w:rsidRDefault="00A1B2C3">
            <w:r w:rsidRPr="00C4D5E6">
              <w:rPr>
                <w:rFonts w:ascii="Times New Roman" w:hAnsi="Times New Roman" w:eastAsia="宋体"/>
                <w:sz w:val="24"/>
                <w:szCs w:val="24"/>
              </w:rPr>
              <w:t xml:space="preserve">Chen et al. ([18])</w:t>
            </w:r>
          </w:p>
        </w:tc>
        <w:tc>
          <w:tcPr>
            <w:tcW w:w="900" w:type="dxa"/>
          </w:tcPr>
          <w:p w14:paraId="1A2B3C7B" w14:textId="77777777" w:rsidR="00A1B2C3" w:rsidRDefault="00A1B2C3">
            <w:r w:rsidRPr="00C4D5E6">
              <w:rPr>
                <w:rFonts w:ascii="Times New Roman" w:hAnsi="Times New Roman" w:eastAsia="宋体"/>
                <w:sz w:val="24"/>
                <w:szCs w:val="24"/>
              </w:rPr>
              <w:t xml:space="preserve">2018</w:t>
            </w:r>
          </w:p>
        </w:tc>
        <w:tc>
          <w:tcPr>
            <w:tcW w:w="900" w:type="dxa"/>
          </w:tcPr>
          <w:p w14:paraId="1A2B3C7C" w14:textId="77777777" w:rsidR="00A1B2C3" w:rsidRDefault="00A1B2C3">
            <w:r w:rsidRPr="00C4D5E6">
              <w:rPr>
                <w:rFonts w:ascii="Times New Roman" w:hAnsi="Times New Roman" w:eastAsia="宋体"/>
                <w:sz w:val="24"/>
                <w:szCs w:val="24"/>
              </w:rPr>
              <w:t xml:space="preserve">I–IV</w:t>
            </w:r>
          </w:p>
        </w:tc>
        <w:tc>
          <w:tcPr>
            <w:tcW w:w="900" w:type="dxa"/>
          </w:tcPr>
          <w:p w14:paraId="1A2B3C7D" w14:textId="77777777" w:rsidR="00A1B2C3" w:rsidRDefault="00A1B2C3">
            <w:r w:rsidRPr="00C4D5E6">
              <w:rPr>
                <w:rFonts w:ascii="Times New Roman" w:hAnsi="Times New Roman" w:eastAsia="宋体"/>
                <w:sz w:val="24"/>
                <w:szCs w:val="24"/>
              </w:rPr>
              <w:t xml:space="preserve">124/0</w:t>
            </w:r>
          </w:p>
        </w:tc>
        <w:tc>
          <w:tcPr>
            <w:tcW w:w="900" w:type="dxa"/>
          </w:tcPr>
          <w:p w14:paraId="1A2B3C7E" w14:textId="77777777" w:rsidR="00A1B2C3" w:rsidRDefault="00A1B2C3">
            <w:r w:rsidRPr="00C4D5E6">
              <w:rPr>
                <w:rFonts w:ascii="Times New Roman" w:hAnsi="Times New Roman" w:eastAsia="宋体"/>
                <w:sz w:val="24"/>
                <w:szCs w:val="24"/>
              </w:rPr>
              <w:t xml:space="preserve">65/59</w:t>
            </w:r>
          </w:p>
        </w:tc>
        <w:tc>
          <w:tcPr>
            <w:tcW w:w="900" w:type="dxa"/>
          </w:tcPr>
          <w:p w14:paraId="1A2B3C7F" w14:textId="77777777" w:rsidR="00A1B2C3" w:rsidRDefault="00A1B2C3">
            <w:r w:rsidRPr="00C4D5E6">
              <w:rPr>
                <w:rFonts w:ascii="Times New Roman" w:hAnsi="Times New Roman" w:eastAsia="宋体"/>
                <w:sz w:val="24"/>
                <w:szCs w:val="24"/>
              </w:rPr>
              <w:t xml:space="preserve">50–74</w:t>
            </w:r>
          </w:p>
        </w:tc>
        <w:tc>
          <w:tcPr>
            <w:tcW w:w="900" w:type="dxa"/>
          </w:tcPr>
          <w:p w14:paraId="1A2B3C80" w14:textId="77777777" w:rsidR="00A1B2C3" w:rsidRDefault="00A1B2C3">
            <w:r w:rsidRPr="00C4D5E6">
              <w:rPr>
                <w:rFonts w:ascii="Times New Roman" w:hAnsi="Times New Roman" w:eastAsia="宋体"/>
                <w:sz w:val="24"/>
                <w:szCs w:val="24"/>
              </w:rPr>
              <w:t xml:space="preserve">PF/PP</w:t>
            </w:r>
          </w:p>
        </w:tc>
        <w:tc>
          <w:tcPr>
            <w:tcW w:w="900" w:type="dxa"/>
          </w:tcPr>
          <w:p w14:paraId="1A2B3C81" w14:textId="77777777" w:rsidR="00A1B2C3" w:rsidRDefault="00A1B2C3">
            <w:r w:rsidRPr="00C4D5E6">
              <w:rPr>
                <w:rFonts w:ascii="Times New Roman" w:hAnsi="Times New Roman" w:eastAsia="宋体"/>
                <w:sz w:val="24"/>
                <w:szCs w:val="24"/>
              </w:rPr>
              <w:t xml:space="preserve">PF/P</w:t>
            </w:r>
          </w:p>
        </w:tc>
        <w:tc>
          <w:tcPr>
            <w:tcW w:w="900" w:type="dxa"/>
          </w:tcPr>
          <w:p w14:paraId="1A2B3C82" w14:textId="77777777" w:rsidR="00A1B2C3" w:rsidRDefault="00A1B2C3">
            <w:r w:rsidRPr="00C4D5E6">
              <w:rPr>
                <w:rFonts w:ascii="Times New Roman" w:hAnsi="Times New Roman" w:eastAsia="宋体"/>
                <w:sz w:val="24"/>
                <w:szCs w:val="24"/>
              </w:rPr>
              <w:t xml:space="preserve">2–4</w:t>
            </w:r>
          </w:p>
        </w:tc>
        <w:tc>
          <w:tcPr>
            <w:tcW w:w="900" w:type="dxa"/>
          </w:tcPr>
          <w:p w14:paraId="1A2B3C83" w14:textId="77777777" w:rsidR="00A1B2C3" w:rsidRDefault="00A1B2C3">
            <w:r w:rsidRPr="00C4D5E6">
              <w:rPr>
                <w:rFonts w:ascii="Times New Roman" w:hAnsi="Times New Roman" w:eastAsia="宋体"/>
                <w:sz w:val="24"/>
                <w:szCs w:val="24"/>
              </w:rPr>
              <w:t xml:space="preserve">4</w:t>
            </w:r>
          </w:p>
        </w:tc>
      </w:tr>
      <w:tr>
        <w:tc>
          <w:tcPr>
            <w:tcW w:w="900" w:type="dxa"/>
          </w:tcPr>
          <w:p w14:paraId="1A2B3C84" w14:textId="77777777" w:rsidR="00A1B2C3" w:rsidRDefault="00A1B2C3">
            <w:r w:rsidRPr="00C4D5E6">
              <w:rPr>
                <w:rFonts w:ascii="Times New Roman" w:hAnsi="Times New Roman" w:eastAsia="宋体"/>
                <w:sz w:val="24"/>
                <w:szCs w:val="24"/>
              </w:rPr>
              <w:t xml:space="preserve">Koh et al. ([19])</w:t>
            </w:r>
          </w:p>
        </w:tc>
        <w:tc>
          <w:tcPr>
            <w:tcW w:w="900" w:type="dxa"/>
          </w:tcPr>
          <w:p w14:paraId="1A2B3C85" w14:textId="77777777" w:rsidR="00A1B2C3" w:rsidRDefault="00A1B2C3">
            <w:r w:rsidRPr="00C4D5E6">
              <w:rPr>
                <w:rFonts w:ascii="Times New Roman" w:hAnsi="Times New Roman" w:eastAsia="宋体"/>
                <w:sz w:val="24"/>
                <w:szCs w:val="24"/>
              </w:rPr>
              <w:t xml:space="preserve">2020</w:t>
            </w:r>
          </w:p>
        </w:tc>
        <w:tc>
          <w:tcPr>
            <w:tcW w:w="900" w:type="dxa"/>
          </w:tcPr>
          <w:p w14:paraId="1A2B3C86" w14:textId="77777777" w:rsidR="00A1B2C3" w:rsidRDefault="00A1B2C3">
            <w:r w:rsidRPr="00C4D5E6">
              <w:rPr>
                <w:rFonts w:ascii="Times New Roman" w:hAnsi="Times New Roman" w:eastAsia="宋体"/>
                <w:sz w:val="24"/>
                <w:szCs w:val="24"/>
              </w:rPr>
              <w:t xml:space="preserve">I–III</w:t>
            </w:r>
          </w:p>
        </w:tc>
        <w:tc>
          <w:tcPr>
            <w:tcW w:w="900" w:type="dxa"/>
          </w:tcPr>
          <w:p w14:paraId="1A2B3C87" w14:textId="77777777" w:rsidR="00A1B2C3" w:rsidRDefault="00A1B2C3">
            <w:r w:rsidRPr="00C4D5E6">
              <w:rPr>
                <w:rFonts w:ascii="Times New Roman" w:hAnsi="Times New Roman" w:eastAsia="宋体"/>
                <w:sz w:val="24"/>
                <w:szCs w:val="24"/>
              </w:rPr>
              <w:t xml:space="preserve">73/0</w:t>
            </w:r>
          </w:p>
        </w:tc>
        <w:tc>
          <w:tcPr>
            <w:tcW w:w="900" w:type="dxa"/>
          </w:tcPr>
          <w:p w14:paraId="1A2B3C88" w14:textId="77777777" w:rsidR="00A1B2C3" w:rsidRDefault="00A1B2C3">
            <w:r w:rsidRPr="00C4D5E6">
              <w:rPr>
                <w:rFonts w:ascii="Times New Roman" w:hAnsi="Times New Roman" w:eastAsia="宋体"/>
                <w:sz w:val="24"/>
                <w:szCs w:val="24"/>
              </w:rPr>
              <w:t xml:space="preserve">56/17</w:t>
            </w:r>
          </w:p>
        </w:tc>
        <w:tc>
          <w:tcPr>
            <w:tcW w:w="900" w:type="dxa"/>
          </w:tcPr>
          <w:p w14:paraId="1A2B3C89" w14:textId="77777777" w:rsidR="00A1B2C3" w:rsidRDefault="00A1B2C3">
            <w:r w:rsidRPr="00C4D5E6">
              <w:rPr>
                <w:rFonts w:ascii="Times New Roman" w:hAnsi="Times New Roman" w:eastAsia="宋体"/>
                <w:sz w:val="24"/>
                <w:szCs w:val="24"/>
              </w:rPr>
              <w:t xml:space="preserve">50–70</w:t>
            </w:r>
          </w:p>
        </w:tc>
        <w:tc>
          <w:tcPr>
            <w:tcW w:w="900" w:type="dxa"/>
          </w:tcPr>
          <w:p w14:paraId="1A2B3C8A" w14:textId="77777777" w:rsidR="00A1B2C3" w:rsidRDefault="00A1B2C3">
            <w:r w:rsidRPr="00C4D5E6">
              <w:rPr>
                <w:rFonts w:ascii="Times New Roman" w:hAnsi="Times New Roman" w:eastAsia="宋体"/>
                <w:sz w:val="24"/>
                <w:szCs w:val="24"/>
              </w:rPr>
              <w:t xml:space="preserve">PF/P/F</w:t>
            </w:r>
          </w:p>
        </w:tc>
        <w:tc>
          <w:tcPr>
            <w:tcW w:w="900" w:type="dxa"/>
          </w:tcPr>
          <w:p w14:paraId="1A2B3C8B" w14:textId="77777777" w:rsidR="00A1B2C3" w:rsidRDefault="00A1B2C3">
            <w:r w:rsidRPr="00C4D5E6">
              <w:rPr>
                <w:rFonts w:ascii="Times New Roman" w:hAnsi="Times New Roman" w:eastAsia="宋体"/>
                <w:sz w:val="24"/>
                <w:szCs w:val="24"/>
              </w:rPr>
              <w:t xml:space="preserve">PF/P/F</w:t>
            </w:r>
          </w:p>
        </w:tc>
        <w:tc>
          <w:tcPr>
            <w:tcW w:w="900" w:type="dxa"/>
          </w:tcPr>
          <w:p w14:paraId="1A2B3C8C" w14:textId="77777777" w:rsidR="00A1B2C3" w:rsidRDefault="00A1B2C3">
            <w:r w:rsidRPr="00C4D5E6">
              <w:rPr>
                <w:rFonts w:ascii="Times New Roman" w:hAnsi="Times New Roman" w:eastAsia="宋体"/>
                <w:sz w:val="24"/>
                <w:szCs w:val="24"/>
              </w:rPr>
              <w:t xml:space="preserve">–</w:t>
            </w:r>
          </w:p>
        </w:tc>
        <w:tc>
          <w:tcPr>
            <w:tcW w:w="900" w:type="dxa"/>
          </w:tcPr>
          <w:p w14:paraId="1A2B3C8D" w14:textId="77777777" w:rsidR="00A1B2C3" w:rsidRDefault="00A1B2C3">
            <w:r w:rsidRPr="00C4D5E6">
              <w:rPr>
                <w:rFonts w:ascii="Times New Roman" w:hAnsi="Times New Roman" w:eastAsia="宋体"/>
                <w:sz w:val="24"/>
                <w:szCs w:val="24"/>
              </w:rPr>
              <w:t xml:space="preserve">4</w:t>
            </w:r>
          </w:p>
        </w:tc>
      </w:tr>
      <w:tr>
        <w:tc>
          <w:tcPr>
            <w:tcW w:w="900" w:type="dxa"/>
          </w:tcPr>
          <w:p w14:paraId="1A2B3C8E" w14:textId="77777777" w:rsidR="00A1B2C3" w:rsidRDefault="00A1B2C3">
            <w:r w:rsidRPr="00C4D5E6">
              <w:rPr>
                <w:rFonts w:ascii="Times New Roman" w:hAnsi="Times New Roman" w:eastAsia="宋体"/>
                <w:sz w:val="24"/>
                <w:szCs w:val="24"/>
              </w:rPr>
              <w:t xml:space="preserve">Zhang et al. ([20])</w:t>
            </w:r>
          </w:p>
        </w:tc>
        <w:tc>
          <w:tcPr>
            <w:tcW w:w="900" w:type="dxa"/>
          </w:tcPr>
          <w:p w14:paraId="1A2B3C8F" w14:textId="77777777" w:rsidR="00A1B2C3" w:rsidRDefault="00A1B2C3">
            <w:r w:rsidRPr="00C4D5E6">
              <w:rPr>
                <w:rFonts w:ascii="Times New Roman" w:hAnsi="Times New Roman" w:eastAsia="宋体"/>
                <w:sz w:val="24"/>
                <w:szCs w:val="24"/>
              </w:rPr>
              <w:t xml:space="preserve">2020</w:t>
            </w:r>
          </w:p>
        </w:tc>
        <w:tc>
          <w:tcPr>
            <w:tcW w:w="900" w:type="dxa"/>
          </w:tcPr>
          <w:p w14:paraId="1A2B3C90" w14:textId="77777777" w:rsidR="00A1B2C3" w:rsidRDefault="00A1B2C3">
            <w:r w:rsidRPr="00C4D5E6">
              <w:rPr>
                <w:rFonts w:ascii="Times New Roman" w:hAnsi="Times New Roman" w:eastAsia="宋体"/>
                <w:sz w:val="24"/>
                <w:szCs w:val="24"/>
              </w:rPr>
              <w:t xml:space="preserve">I–III</w:t>
            </w:r>
          </w:p>
        </w:tc>
        <w:tc>
          <w:tcPr>
            <w:tcW w:w="900" w:type="dxa"/>
          </w:tcPr>
          <w:p w14:paraId="1A2B3C91" w14:textId="77777777" w:rsidR="00A1B2C3" w:rsidRDefault="00A1B2C3">
            <w:r w:rsidRPr="00C4D5E6">
              <w:rPr>
                <w:rFonts w:ascii="Times New Roman" w:hAnsi="Times New Roman" w:eastAsia="宋体"/>
                <w:sz w:val="24"/>
                <w:szCs w:val="24"/>
              </w:rPr>
              <w:t xml:space="preserve">222/0</w:t>
            </w:r>
          </w:p>
        </w:tc>
        <w:tc>
          <w:tcPr>
            <w:tcW w:w="900" w:type="dxa"/>
          </w:tcPr>
          <w:p w14:paraId="1A2B3C92" w14:textId="77777777" w:rsidR="00A1B2C3" w:rsidRDefault="00A1B2C3">
            <w:r w:rsidRPr="00C4D5E6">
              <w:rPr>
                <w:rFonts w:ascii="Times New Roman" w:hAnsi="Times New Roman" w:eastAsia="宋体"/>
                <w:sz w:val="24"/>
                <w:szCs w:val="24"/>
              </w:rPr>
              <w:t xml:space="preserve">113/109</w:t>
            </w:r>
          </w:p>
        </w:tc>
        <w:tc>
          <w:tcPr>
            <w:tcW w:w="900" w:type="dxa"/>
          </w:tcPr>
          <w:p w14:paraId="1A2B3C93" w14:textId="77777777" w:rsidR="00A1B2C3" w:rsidRDefault="00A1B2C3">
            <w:r w:rsidRPr="00C4D5E6">
              <w:rPr>
                <w:rFonts w:ascii="Times New Roman" w:hAnsi="Times New Roman" w:eastAsia="宋体"/>
                <w:sz w:val="24"/>
                <w:szCs w:val="24"/>
              </w:rPr>
              <w:t xml:space="preserve">50.4–66</w:t>
            </w:r>
          </w:p>
        </w:tc>
        <w:tc>
          <w:tcPr>
            <w:tcW w:w="900" w:type="dxa"/>
          </w:tcPr>
          <w:p w14:paraId="1A2B3C94" w14:textId="77777777" w:rsidR="00A1B2C3" w:rsidRDefault="00A1B2C3">
            <w:r w:rsidRPr="00C4D5E6">
              <w:rPr>
                <w:rFonts w:ascii="Times New Roman" w:hAnsi="Times New Roman" w:eastAsia="宋体"/>
                <w:sz w:val="24"/>
                <w:szCs w:val="24"/>
              </w:rPr>
              <w:t xml:space="preserve">LFP/PF/TP</w:t>
            </w:r>
          </w:p>
        </w:tc>
        <w:tc>
          <w:tcPr>
            <w:tcW w:w="900" w:type="dxa"/>
          </w:tcPr>
          <w:p w14:paraId="1A2B3C95" w14:textId="77777777" w:rsidR="00A1B2C3" w:rsidRDefault="00A1B2C3">
            <w:r w:rsidRPr="00C4D5E6">
              <w:rPr>
                <w:rFonts w:ascii="Times New Roman" w:hAnsi="Times New Roman" w:eastAsia="宋体"/>
                <w:sz w:val="24"/>
                <w:szCs w:val="24"/>
              </w:rPr>
              <w:t xml:space="preserve">LFP/PF/TP</w:t>
            </w:r>
          </w:p>
        </w:tc>
        <w:tc>
          <w:tcPr>
            <w:tcW w:w="900" w:type="dxa"/>
          </w:tcPr>
          <w:p w14:paraId="1A2B3C96" w14:textId="77777777" w:rsidR="00A1B2C3" w:rsidRDefault="00A1B2C3">
            <w:r w:rsidRPr="00C4D5E6">
              <w:rPr>
                <w:rFonts w:ascii="Times New Roman" w:hAnsi="Times New Roman" w:eastAsia="宋体"/>
                <w:sz w:val="24"/>
                <w:szCs w:val="24"/>
              </w:rPr>
              <w:t xml:space="preserve">1–4</w:t>
            </w:r>
          </w:p>
        </w:tc>
        <w:tc>
          <w:tcPr>
            <w:tcW w:w="900" w:type="dxa"/>
          </w:tcPr>
          <w:p w14:paraId="1A2B3C97" w14:textId="77777777" w:rsidR="00A1B2C3" w:rsidRDefault="00A1B2C3">
            <w:r w:rsidRPr="00C4D5E6">
              <w:rPr>
                <w:rFonts w:ascii="Times New Roman" w:hAnsi="Times New Roman" w:eastAsia="宋体"/>
                <w:sz w:val="24"/>
                <w:szCs w:val="24"/>
              </w:rPr>
              <w:t xml:space="preserve">4</w:t>
            </w:r>
          </w:p>
        </w:tc>
      </w:tr>
    </w:tbl>
    <w:p w14:paraId="1A2B3C98"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P, cisplatin; F, fluorouracil; PF, cisplatin plus fluorouracil; DP, docetaxel plus cisplatin; ND, nedaplatin plus cisplatin; PP, paclitaxel plus cisplatin; LFP, cisplatin plus 5-fluorouracil plus calcium folinate; TP, cisplatin plus paclitaxel; m, months; CCT, consolidation chemotherapy; CCRT, concurrent chemoradiotherapy.</w:t>
      </w:r>
    </w:p>
    <w:p w14:paraId="1A2B3C99" w14:textId="77777777" w:rsidR="00A1B2C3" w:rsidRDefault="00A1B2C3">
      <w:pPr>
        <w:pStyle w:val="Heading3"/>
      </w:pPr>
      <w:r w:rsidRPr="00C4D5E6">
        <w:rPr>
          <w:rFonts w:ascii="Times New Roman" w:hAnsi="Times New Roman" w:eastAsia="宋体"/>
          <w:sz w:val="24"/>
          <w:szCs w:val="24"/>
        </w:rPr>
        <w:t xml:space="preserve">Outcome Data</w:t>
      </w:r>
    </w:p>
    <w:p w14:paraId="1A2B3C9A" w14:textId="77777777" w:rsidR="00A1B2C3" w:rsidRDefault="00A1B2C3">
      <w:pPr>
        <w:pStyle w:val="Heading4"/>
      </w:pPr>
      <w:r w:rsidRPr="00C4D5E6">
        <w:rPr>
          <w:rFonts w:ascii="Times New Roman" w:hAnsi="Times New Roman" w:eastAsia="宋体"/>
          <w:sz w:val="24"/>
          <w:szCs w:val="24"/>
        </w:rPr>
        <w:t xml:space="preserve">Induction Chemotherapy Followed by Concurrent Chemoradiotherapy vs. Concurrent Chemoradiotherapy</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1-year and 2-year OS rate were available in the three studies with 726 patients ([6], [12], [13]). The 1-year OS rate was significantly higher in patients who were treated with IC-CCRT (HR 0.445, 95% CI 0.286–0.693; p &lt; 0.001;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In addition, three studies analyzed 3-year OS rate of the two groups ([12]–[14]). There was no significant difference in 2-year OS rate (HR 0.803, 95% CI 0.589–1.095; p = 0.166;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and 3-year OS rate (HR 1.065, 95% CI 0.789–1.439; p = 0.680;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between the two groups.</w:t>
      </w:r>
    </w:p>
    <w:p w14:paraId="1A2B3C9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Effects of IC-CCRT vs. CCRT alone on 1-, 2-, and 3-year OS. IC-CCRT, induction chemotherapy followed by concurrent chemoradiotherapy; CCRT, concurrent chemoradiotherapy; OS, overall survival; CI, confidence interval; ES, effect size.</w:t>
      </w:r>
    </w:p>
    <w:p w14:paraId="1A2B3C9D" w14:textId="77777777" w:rsidR="00A1B2C3" w:rsidRDefault="00A1B2C3">
      <w:pPr>
        <w:pStyle w:val="Heading4"/>
      </w:pPr>
      <w:r w:rsidRPr="00C4D5E6">
        <w:rPr>
          <w:rFonts w:ascii="Times New Roman" w:hAnsi="Times New Roman" w:eastAsia="宋体"/>
          <w:sz w:val="24"/>
          <w:szCs w:val="24"/>
        </w:rPr>
        <w:t xml:space="preserve">Concurrent Chemoradiotherapy Followed by Consolidation Chemotherapy vs. Concurrent Chemoradiotherapy</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The six studies with 1,339 patients all reported 1- and 3-year OS rates of the CCRT-CCT group and CCRT group ([15]–[20]). Four articles reported 2-year OS rate of the two groups ([15]–[17], [19]). Four studies ([16]–[18], [20]) analyzed 5-year OS rate, and three studies ([15]–[17]) analyzed LRR and DMR of the two groups.</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CCRT-CCT group had a significant advantage over the CCRT group in 1-year OS rate (HR 0.542, 95% CI 0.410–0.716; p &lt; 0.001;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3-year OS rate (HR 0.786, 95% CI 0.625–0.987; p = 0.039;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The CCRT-CCT group had lower DMR (OR 1.562, 95% CI 1.090–2.240; p = 0.015;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However, no differences were seen between the two groups in 2-year OS rate (HR 0.783, 95% CI 0.600–1.022; p = 0.072;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5-year OS rate (HR 0.923, 95% CI 0.706–1.205; p = 0.555;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LRR (OR 0.899, 95% CI 0.686–1.179; p = 0.441;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Effects of CCRT-CCT vs. CCRT alone on 1-, 2-, 3-, and 5-year OS. CCRT-CCT, concurrent chemoradiotherapy followed by consolidation chemotherapy; CCRT, concurrent chemoradiotherapy; OS, overall survival; CI, confidence interval; ES, effect size.</w:t>
      </w:r>
    </w:p>
    <w:p w14:paraId="1A2B3CA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Effects of CCRT-CCT vs. CCRT alone on local recurrence rate and distant metastasis rate. CCRT-CCT, concurrent chemoradiotherapy followed by consolidation chemotherapy; CCRT, concurrent chemoradiotherapy; CI, confidence interval; OR, odds ratio.</w:t>
      </w:r>
    </w:p>
    <w:p w14:paraId="1A2B3CA2" w14:textId="77777777" w:rsidR="00A1B2C3" w:rsidRDefault="00A1B2C3">
      <w:pPr>
        <w:pStyle w:val="Heading3"/>
      </w:pPr>
      <w:r w:rsidRPr="00C4D5E6">
        <w:rPr>
          <w:rFonts w:ascii="Times New Roman" w:hAnsi="Times New Roman" w:eastAsia="宋体"/>
          <w:sz w:val="24"/>
          <w:szCs w:val="24"/>
        </w:rPr>
        <w:t xml:space="preserve">Sensitivity Analysis</w:t>
      </w:r>
    </w:p>
    <w:p w14:paraId="1A2B3CA3" w14:textId="77777777" w:rsidR="00A1B2C3" w:rsidRDefault="00A1B2C3">
      <w:pPr>
        <w:spacing w:line="480" w:lineRule="auto"/>
        <w:ind w:firstLine="480"/>
        <w:jc w:val="both"/>
      </w:pPr>
      <w:r w:rsidRPr="00C4D5E6">
        <w:rPr>
          <w:rFonts w:ascii="Times New Roman" w:hAnsi="Times New Roman" w:eastAsia="宋体"/>
          <w:sz w:val="24"/>
          <w:szCs w:val="24"/>
        </w:rPr>
        <w:t xml:space="preserve">Sensitivity analysis showed that the new combined HR/OR was similar with the original HR/OR (</w:t>
      </w:r>
      <w:r w:rsidRPr="00C4D5E6">
        <w:rPr>
          <w:b/>
          <w:rFonts w:ascii="Times New Roman" w:hAnsi="Times New Roman" w:eastAsia="宋体"/>
          <w:sz w:val="24"/>
          <w:szCs w:val="24"/>
        </w:rPr>
        <w:t xml:space="preserve">Tables 3</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w:t>
      </w:r>
    </w:p>
    <w:p w14:paraId="1A2B3CA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Sensitivity analysis for 1-, 2-, and 3-year OS rate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A5" w14:textId="77777777" w:rsidR="00A1B2C3" w:rsidRDefault="00A1B2C3">
            <w:r w:rsidRPr="00C4D5E6">
              <w:rPr>
                <w:rFonts w:ascii="Times New Roman" w:hAnsi="Times New Roman" w:eastAsia="宋体"/>
                <w:sz w:val="24"/>
                <w:szCs w:val="24"/>
              </w:rPr>
              <w:t xml:space="preserve">Items</w:t>
            </w:r>
          </w:p>
        </w:tc>
        <w:tc>
          <w:tcPr>
            <w:tcW w:w="1800" w:type="dxa"/>
          </w:tcPr>
          <w:p w14:paraId="1A2B3CA6" w14:textId="77777777" w:rsidR="00A1B2C3" w:rsidRDefault="00A1B2C3">
            <w:r w:rsidRPr="00C4D5E6">
              <w:rPr>
                <w:rFonts w:ascii="Times New Roman" w:hAnsi="Times New Roman" w:eastAsia="宋体"/>
                <w:sz w:val="24"/>
                <w:szCs w:val="24"/>
              </w:rPr>
              <w:t xml:space="preserve">Study omitted</w:t>
            </w:r>
          </w:p>
        </w:tc>
        <w:tc>
          <w:tcPr>
            <w:tcW w:w="1800" w:type="dxa"/>
          </w:tcPr>
          <w:p w14:paraId="1A2B3CA7" w14:textId="77777777" w:rsidR="00A1B2C3" w:rsidRDefault="00A1B2C3">
            <w:r w:rsidRPr="00C4D5E6">
              <w:rPr>
                <w:rFonts w:ascii="Times New Roman" w:hAnsi="Times New Roman" w:eastAsia="宋体"/>
                <w:sz w:val="24"/>
                <w:szCs w:val="24"/>
              </w:rPr>
              <w:t xml:space="preserve">Estimate</w:t>
            </w:r>
          </w:p>
        </w:tc>
        <w:tc>
          <w:tcPr>
            <w:tcW w:w="1800" w:type="dxa"/>
          </w:tcPr>
          <w:p w14:paraId="1A2B3CA8" w14:textId="77777777" w:rsidR="00A1B2C3" w:rsidRDefault="00A1B2C3">
            <w:r w:rsidRPr="00C4D5E6">
              <w:rPr>
                <w:rFonts w:ascii="Times New Roman" w:hAnsi="Times New Roman" w:eastAsia="宋体"/>
                <w:sz w:val="24"/>
                <w:szCs w:val="24"/>
              </w:rPr>
              <w:t xml:space="preserve">95% CI</w:t>
            </w:r>
          </w:p>
        </w:tc>
        <w:tc>
          <w:tcPr>
            <w:tcW w:w="1800" w:type="dxa"/>
          </w:tcPr>
          <w:p w14:paraId="1A2B3CA9" w14:textId="77777777" w:rsidR="00A1B2C3" w:rsidRDefault="00A1B2C3"/>
        </w:tc>
      </w:tr>
      <w:tr>
        <w:tc>
          <w:tcPr>
            <w:tcW w:w="1800" w:type="dxa"/>
          </w:tcPr>
          <w:p w14:paraId="1A2B3CAA"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AB" w14:textId="77777777" w:rsidR="00A1B2C3" w:rsidRDefault="00A1B2C3">
            <w:r w:rsidRPr="00C4D5E6">
              <w:rPr>
                <w:rFonts w:ascii="Times New Roman" w:hAnsi="Times New Roman" w:eastAsia="宋体"/>
                <w:sz w:val="24"/>
                <w:szCs w:val="24"/>
              </w:rPr>
              <w:t xml:space="preserve">Chen et al. ([6])</w:t>
            </w:r>
          </w:p>
        </w:tc>
        <w:tc>
          <w:tcPr>
            <w:tcW w:w="1800" w:type="dxa"/>
          </w:tcPr>
          <w:p w14:paraId="1A2B3CAC" w14:textId="77777777" w:rsidR="00A1B2C3" w:rsidRDefault="00A1B2C3">
            <w:r w:rsidRPr="00C4D5E6">
              <w:rPr>
                <w:rFonts w:ascii="Times New Roman" w:hAnsi="Times New Roman" w:eastAsia="宋体"/>
                <w:sz w:val="24"/>
                <w:szCs w:val="24"/>
              </w:rPr>
              <w:t xml:space="preserve">0.525</w:t>
            </w:r>
          </w:p>
        </w:tc>
        <w:tc>
          <w:tcPr>
            <w:tcW w:w="1800" w:type="dxa"/>
          </w:tcPr>
          <w:p w14:paraId="1A2B3CAD" w14:textId="77777777" w:rsidR="00A1B2C3" w:rsidRDefault="00A1B2C3">
            <w:r w:rsidRPr="00C4D5E6">
              <w:rPr>
                <w:rFonts w:ascii="Times New Roman" w:hAnsi="Times New Roman" w:eastAsia="宋体"/>
                <w:sz w:val="24"/>
                <w:szCs w:val="24"/>
              </w:rPr>
              <w:t xml:space="preserve">0.357</w:t>
            </w:r>
          </w:p>
        </w:tc>
        <w:tc>
          <w:tcPr>
            <w:tcW w:w="1800" w:type="dxa"/>
          </w:tcPr>
          <w:p w14:paraId="1A2B3CAE" w14:textId="77777777" w:rsidR="00A1B2C3" w:rsidRDefault="00A1B2C3">
            <w:r w:rsidRPr="00C4D5E6">
              <w:rPr>
                <w:rFonts w:ascii="Times New Roman" w:hAnsi="Times New Roman" w:eastAsia="宋体"/>
                <w:sz w:val="24"/>
                <w:szCs w:val="24"/>
              </w:rPr>
              <w:t xml:space="preserve">0.774</w:t>
            </w:r>
          </w:p>
        </w:tc>
      </w:tr>
      <w:tr>
        <w:tc>
          <w:tcPr>
            <w:tcW w:w="1800" w:type="dxa"/>
          </w:tcPr>
          <w:p w14:paraId="1A2B3CAF" w14:textId="77777777" w:rsidR="00A1B2C3" w:rsidRDefault="00A1B2C3"/>
        </w:tc>
        <w:tc>
          <w:tcPr>
            <w:tcW w:w="1800" w:type="dxa"/>
          </w:tcPr>
          <w:p w14:paraId="1A2B3CB0" w14:textId="77777777" w:rsidR="00A1B2C3" w:rsidRDefault="00A1B2C3">
            <w:r w:rsidRPr="00C4D5E6">
              <w:rPr>
                <w:rFonts w:ascii="Times New Roman" w:hAnsi="Times New Roman" w:eastAsia="宋体"/>
                <w:sz w:val="24"/>
                <w:szCs w:val="24"/>
              </w:rPr>
              <w:t xml:space="preserve">Luo et al. ([12])</w:t>
            </w:r>
          </w:p>
        </w:tc>
        <w:tc>
          <w:tcPr>
            <w:tcW w:w="1800" w:type="dxa"/>
          </w:tcPr>
          <w:p w14:paraId="1A2B3CB1" w14:textId="77777777" w:rsidR="00A1B2C3" w:rsidRDefault="00A1B2C3">
            <w:r w:rsidRPr="00C4D5E6">
              <w:rPr>
                <w:rFonts w:ascii="Times New Roman" w:hAnsi="Times New Roman" w:eastAsia="宋体"/>
                <w:sz w:val="24"/>
                <w:szCs w:val="24"/>
              </w:rPr>
              <w:t xml:space="preserve">0.513</w:t>
            </w:r>
          </w:p>
        </w:tc>
        <w:tc>
          <w:tcPr>
            <w:tcW w:w="1800" w:type="dxa"/>
          </w:tcPr>
          <w:p w14:paraId="1A2B3CB2" w14:textId="77777777" w:rsidR="00A1B2C3" w:rsidRDefault="00A1B2C3">
            <w:r w:rsidRPr="00C4D5E6">
              <w:rPr>
                <w:rFonts w:ascii="Times New Roman" w:hAnsi="Times New Roman" w:eastAsia="宋体"/>
                <w:sz w:val="24"/>
                <w:szCs w:val="24"/>
              </w:rPr>
              <w:t xml:space="preserve">0.318</w:t>
            </w:r>
          </w:p>
        </w:tc>
        <w:tc>
          <w:tcPr>
            <w:tcW w:w="1800" w:type="dxa"/>
          </w:tcPr>
          <w:p w14:paraId="1A2B3CB3" w14:textId="77777777" w:rsidR="00A1B2C3" w:rsidRDefault="00A1B2C3">
            <w:r w:rsidRPr="00C4D5E6">
              <w:rPr>
                <w:rFonts w:ascii="Times New Roman" w:hAnsi="Times New Roman" w:eastAsia="宋体"/>
                <w:sz w:val="24"/>
                <w:szCs w:val="24"/>
              </w:rPr>
              <w:t xml:space="preserve">0.830</w:t>
            </w:r>
          </w:p>
        </w:tc>
      </w:tr>
      <w:tr>
        <w:tc>
          <w:tcPr>
            <w:tcW w:w="1800" w:type="dxa"/>
          </w:tcPr>
          <w:p w14:paraId="1A2B3CB4" w14:textId="77777777" w:rsidR="00A1B2C3" w:rsidRDefault="00A1B2C3"/>
        </w:tc>
        <w:tc>
          <w:tcPr>
            <w:tcW w:w="1800" w:type="dxa"/>
          </w:tcPr>
          <w:p w14:paraId="1A2B3CB5" w14:textId="77777777" w:rsidR="00A1B2C3" w:rsidRDefault="00A1B2C3">
            <w:r w:rsidRPr="00C4D5E6">
              <w:rPr>
                <w:rFonts w:ascii="Times New Roman" w:hAnsi="Times New Roman" w:eastAsia="宋体"/>
                <w:sz w:val="24"/>
                <w:szCs w:val="24"/>
              </w:rPr>
              <w:t xml:space="preserve">Xi et al. ([13])</w:t>
            </w:r>
          </w:p>
        </w:tc>
        <w:tc>
          <w:tcPr>
            <w:tcW w:w="1800" w:type="dxa"/>
          </w:tcPr>
          <w:p w14:paraId="1A2B3CB6" w14:textId="77777777" w:rsidR="00A1B2C3" w:rsidRDefault="00A1B2C3">
            <w:r w:rsidRPr="00C4D5E6">
              <w:rPr>
                <w:rFonts w:ascii="Times New Roman" w:hAnsi="Times New Roman" w:eastAsia="宋体"/>
                <w:sz w:val="24"/>
                <w:szCs w:val="24"/>
              </w:rPr>
              <w:t xml:space="preserve">0.587</w:t>
            </w:r>
          </w:p>
        </w:tc>
        <w:tc>
          <w:tcPr>
            <w:tcW w:w="1800" w:type="dxa"/>
          </w:tcPr>
          <w:p w14:paraId="1A2B3CB7" w14:textId="77777777" w:rsidR="00A1B2C3" w:rsidRDefault="00A1B2C3">
            <w:r w:rsidRPr="00C4D5E6">
              <w:rPr>
                <w:rFonts w:ascii="Times New Roman" w:hAnsi="Times New Roman" w:eastAsia="宋体"/>
                <w:sz w:val="24"/>
                <w:szCs w:val="24"/>
              </w:rPr>
              <w:t xml:space="preserve">0.397</w:t>
            </w:r>
          </w:p>
        </w:tc>
        <w:tc>
          <w:tcPr>
            <w:tcW w:w="1800" w:type="dxa"/>
          </w:tcPr>
          <w:p w14:paraId="1A2B3CB8" w14:textId="77777777" w:rsidR="00A1B2C3" w:rsidRDefault="00A1B2C3">
            <w:r w:rsidRPr="00C4D5E6">
              <w:rPr>
                <w:rFonts w:ascii="Times New Roman" w:hAnsi="Times New Roman" w:eastAsia="宋体"/>
                <w:sz w:val="24"/>
                <w:szCs w:val="24"/>
              </w:rPr>
              <w:t xml:space="preserve">0.869</w:t>
            </w:r>
          </w:p>
        </w:tc>
      </w:tr>
      <w:tr>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Combined</w:t>
            </w:r>
          </w:p>
        </w:tc>
        <w:tc>
          <w:tcPr>
            <w:tcW w:w="1800" w:type="dxa"/>
          </w:tcPr>
          <w:p w14:paraId="1A2B3CBB" w14:textId="77777777" w:rsidR="00A1B2C3" w:rsidRDefault="00A1B2C3">
            <w:r w:rsidRPr="00C4D5E6">
              <w:rPr>
                <w:rFonts w:ascii="Times New Roman" w:hAnsi="Times New Roman" w:eastAsia="宋体"/>
                <w:sz w:val="24"/>
                <w:szCs w:val="24"/>
              </w:rPr>
              <w:t xml:space="preserve">0.540</w:t>
            </w:r>
          </w:p>
        </w:tc>
        <w:tc>
          <w:tcPr>
            <w:tcW w:w="1800" w:type="dxa"/>
          </w:tcPr>
          <w:p w14:paraId="1A2B3CBC" w14:textId="77777777" w:rsidR="00A1B2C3" w:rsidRDefault="00A1B2C3">
            <w:r w:rsidRPr="00C4D5E6">
              <w:rPr>
                <w:rFonts w:ascii="Times New Roman" w:hAnsi="Times New Roman" w:eastAsia="宋体"/>
                <w:sz w:val="24"/>
                <w:szCs w:val="24"/>
              </w:rPr>
              <w:t xml:space="preserve">0.384</w:t>
            </w:r>
          </w:p>
        </w:tc>
        <w:tc>
          <w:tcPr>
            <w:tcW w:w="1800" w:type="dxa"/>
          </w:tcPr>
          <w:p w14:paraId="1A2B3CBD" w14:textId="77777777" w:rsidR="00A1B2C3" w:rsidRDefault="00A1B2C3">
            <w:r w:rsidRPr="00C4D5E6">
              <w:rPr>
                <w:rFonts w:ascii="Times New Roman" w:hAnsi="Times New Roman" w:eastAsia="宋体"/>
                <w:sz w:val="24"/>
                <w:szCs w:val="24"/>
              </w:rPr>
              <w:t xml:space="preserve">0.760</w:t>
            </w:r>
          </w:p>
        </w:tc>
      </w:tr>
      <w:tr>
        <w:tc>
          <w:tcPr>
            <w:tcW w:w="1800" w:type="dxa"/>
          </w:tcPr>
          <w:p w14:paraId="1A2B3CBE" w14:textId="77777777" w:rsidR="00A1B2C3" w:rsidRDefault="00A1B2C3">
            <w:r w:rsidRPr="00C4D5E6">
              <w:rPr>
                <w:rFonts w:ascii="Times New Roman" w:hAnsi="Times New Roman" w:eastAsia="宋体"/>
                <w:sz w:val="24"/>
                <w:szCs w:val="24"/>
              </w:rPr>
              <w:t xml:space="preserve">Two-year OS rate</w:t>
            </w:r>
          </w:p>
        </w:tc>
        <w:tc>
          <w:tcPr>
            <w:tcW w:w="1800" w:type="dxa"/>
          </w:tcPr>
          <w:p w14:paraId="1A2B3CBF" w14:textId="77777777" w:rsidR="00A1B2C3" w:rsidRDefault="00A1B2C3">
            <w:r w:rsidRPr="00C4D5E6">
              <w:rPr>
                <w:rFonts w:ascii="Times New Roman" w:hAnsi="Times New Roman" w:eastAsia="宋体"/>
                <w:sz w:val="24"/>
                <w:szCs w:val="24"/>
              </w:rPr>
              <w:t xml:space="preserve">Chen et al. ([6])</w:t>
            </w:r>
          </w:p>
        </w:tc>
        <w:tc>
          <w:tcPr>
            <w:tcW w:w="1800" w:type="dxa"/>
          </w:tcPr>
          <w:p w14:paraId="1A2B3CC0" w14:textId="77777777" w:rsidR="00A1B2C3" w:rsidRDefault="00A1B2C3">
            <w:r w:rsidRPr="00C4D5E6">
              <w:rPr>
                <w:rFonts w:ascii="Times New Roman" w:hAnsi="Times New Roman" w:eastAsia="宋体"/>
                <w:sz w:val="24"/>
                <w:szCs w:val="24"/>
              </w:rPr>
              <w:t xml:space="preserve">0.886</w:t>
            </w:r>
          </w:p>
        </w:tc>
        <w:tc>
          <w:tcPr>
            <w:tcW w:w="1800" w:type="dxa"/>
          </w:tcPr>
          <w:p w14:paraId="1A2B3CC1" w14:textId="77777777" w:rsidR="00A1B2C3" w:rsidRDefault="00A1B2C3">
            <w:r w:rsidRPr="00C4D5E6">
              <w:rPr>
                <w:rFonts w:ascii="Times New Roman" w:hAnsi="Times New Roman" w:eastAsia="宋体"/>
                <w:sz w:val="24"/>
                <w:szCs w:val="24"/>
              </w:rPr>
              <w:t xml:space="preserve">0.737</w:t>
            </w:r>
          </w:p>
        </w:tc>
        <w:tc>
          <w:tcPr>
            <w:tcW w:w="1800" w:type="dxa"/>
          </w:tcPr>
          <w:p w14:paraId="1A2B3CC2" w14:textId="77777777" w:rsidR="00A1B2C3" w:rsidRDefault="00A1B2C3">
            <w:r w:rsidRPr="00C4D5E6">
              <w:rPr>
                <w:rFonts w:ascii="Times New Roman" w:hAnsi="Times New Roman" w:eastAsia="宋体"/>
                <w:sz w:val="24"/>
                <w:szCs w:val="24"/>
              </w:rPr>
              <w:t xml:space="preserve">1.064</w:t>
            </w:r>
          </w:p>
        </w:tc>
      </w:tr>
      <w:tr>
        <w:tc>
          <w:tcPr>
            <w:tcW w:w="1800" w:type="dxa"/>
          </w:tcPr>
          <w:p w14:paraId="1A2B3CC3" w14:textId="77777777" w:rsidR="00A1B2C3" w:rsidRDefault="00A1B2C3"/>
        </w:tc>
        <w:tc>
          <w:tcPr>
            <w:tcW w:w="1800" w:type="dxa"/>
          </w:tcPr>
          <w:p w14:paraId="1A2B3CC4" w14:textId="77777777" w:rsidR="00A1B2C3" w:rsidRDefault="00A1B2C3">
            <w:r w:rsidRPr="00C4D5E6">
              <w:rPr>
                <w:rFonts w:ascii="Times New Roman" w:hAnsi="Times New Roman" w:eastAsia="宋体"/>
                <w:sz w:val="24"/>
                <w:szCs w:val="24"/>
              </w:rPr>
              <w:t xml:space="preserve">Luo et al. ([12])</w:t>
            </w:r>
          </w:p>
        </w:tc>
        <w:tc>
          <w:tcPr>
            <w:tcW w:w="1800" w:type="dxa"/>
          </w:tcPr>
          <w:p w14:paraId="1A2B3CC5" w14:textId="77777777" w:rsidR="00A1B2C3" w:rsidRDefault="00A1B2C3">
            <w:r w:rsidRPr="00C4D5E6">
              <w:rPr>
                <w:rFonts w:ascii="Times New Roman" w:hAnsi="Times New Roman" w:eastAsia="宋体"/>
                <w:sz w:val="24"/>
                <w:szCs w:val="24"/>
              </w:rPr>
              <w:t xml:space="preserve">0.929</w:t>
            </w:r>
          </w:p>
        </w:tc>
        <w:tc>
          <w:tcPr>
            <w:tcW w:w="1800" w:type="dxa"/>
          </w:tcPr>
          <w:p w14:paraId="1A2B3CC6" w14:textId="77777777" w:rsidR="00A1B2C3" w:rsidRDefault="00A1B2C3">
            <w:r w:rsidRPr="00C4D5E6">
              <w:rPr>
                <w:rFonts w:ascii="Times New Roman" w:hAnsi="Times New Roman" w:eastAsia="宋体"/>
                <w:sz w:val="24"/>
                <w:szCs w:val="24"/>
              </w:rPr>
              <w:t xml:space="preserve">0.754</w:t>
            </w:r>
          </w:p>
        </w:tc>
        <w:tc>
          <w:tcPr>
            <w:tcW w:w="1800" w:type="dxa"/>
          </w:tcPr>
          <w:p w14:paraId="1A2B3CC7" w14:textId="77777777" w:rsidR="00A1B2C3" w:rsidRDefault="00A1B2C3">
            <w:r w:rsidRPr="00C4D5E6">
              <w:rPr>
                <w:rFonts w:ascii="Times New Roman" w:hAnsi="Times New Roman" w:eastAsia="宋体"/>
                <w:sz w:val="24"/>
                <w:szCs w:val="24"/>
              </w:rPr>
              <w:t xml:space="preserve">1.143</w:t>
            </w:r>
          </w:p>
        </w:tc>
      </w:tr>
      <w:tr>
        <w:tc>
          <w:tcPr>
            <w:tcW w:w="1800" w:type="dxa"/>
          </w:tcPr>
          <w:p w14:paraId="1A2B3CC8" w14:textId="77777777" w:rsidR="00A1B2C3" w:rsidRDefault="00A1B2C3"/>
        </w:tc>
        <w:tc>
          <w:tcPr>
            <w:tcW w:w="1800" w:type="dxa"/>
          </w:tcPr>
          <w:p w14:paraId="1A2B3CC9" w14:textId="77777777" w:rsidR="00A1B2C3" w:rsidRDefault="00A1B2C3">
            <w:r w:rsidRPr="00C4D5E6">
              <w:rPr>
                <w:rFonts w:ascii="Times New Roman" w:hAnsi="Times New Roman" w:eastAsia="宋体"/>
                <w:sz w:val="24"/>
                <w:szCs w:val="24"/>
              </w:rPr>
              <w:t xml:space="preserve">Xi et al. ([13])</w:t>
            </w:r>
          </w:p>
        </w:tc>
        <w:tc>
          <w:tcPr>
            <w:tcW w:w="1800" w:type="dxa"/>
          </w:tcPr>
          <w:p w14:paraId="1A2B3CCA" w14:textId="77777777" w:rsidR="00A1B2C3" w:rsidRDefault="00A1B2C3">
            <w:r w:rsidRPr="00C4D5E6">
              <w:rPr>
                <w:rFonts w:ascii="Times New Roman" w:hAnsi="Times New Roman" w:eastAsia="宋体"/>
                <w:sz w:val="24"/>
                <w:szCs w:val="24"/>
              </w:rPr>
              <w:t xml:space="preserve">0.811</w:t>
            </w:r>
          </w:p>
        </w:tc>
        <w:tc>
          <w:tcPr>
            <w:tcW w:w="1800" w:type="dxa"/>
          </w:tcPr>
          <w:p w14:paraId="1A2B3CCB" w14:textId="77777777" w:rsidR="00A1B2C3" w:rsidRDefault="00A1B2C3">
            <w:r w:rsidRPr="00C4D5E6">
              <w:rPr>
                <w:rFonts w:ascii="Times New Roman" w:hAnsi="Times New Roman" w:eastAsia="宋体"/>
                <w:sz w:val="24"/>
                <w:szCs w:val="24"/>
              </w:rPr>
              <w:t xml:space="preserve">0.625</w:t>
            </w:r>
          </w:p>
        </w:tc>
        <w:tc>
          <w:tcPr>
            <w:tcW w:w="1800" w:type="dxa"/>
          </w:tcPr>
          <w:p w14:paraId="1A2B3CCC" w14:textId="77777777" w:rsidR="00A1B2C3" w:rsidRDefault="00A1B2C3">
            <w:r w:rsidRPr="00C4D5E6">
              <w:rPr>
                <w:rFonts w:ascii="Times New Roman" w:hAnsi="Times New Roman" w:eastAsia="宋体"/>
                <w:sz w:val="24"/>
                <w:szCs w:val="24"/>
              </w:rPr>
              <w:t xml:space="preserve">1.053</w:t>
            </w:r>
          </w:p>
        </w:tc>
      </w:tr>
      <w:tr>
        <w:tc>
          <w:tcPr>
            <w:tcW w:w="1800" w:type="dxa"/>
          </w:tcPr>
          <w:p w14:paraId="1A2B3CCD" w14:textId="77777777" w:rsidR="00A1B2C3" w:rsidRDefault="00A1B2C3"/>
        </w:tc>
        <w:tc>
          <w:tcPr>
            <w:tcW w:w="1800" w:type="dxa"/>
          </w:tcPr>
          <w:p w14:paraId="1A2B3CCE" w14:textId="77777777" w:rsidR="00A1B2C3" w:rsidRDefault="00A1B2C3">
            <w:r w:rsidRPr="00C4D5E6">
              <w:rPr>
                <w:rFonts w:ascii="Times New Roman" w:hAnsi="Times New Roman" w:eastAsia="宋体"/>
                <w:sz w:val="24"/>
                <w:szCs w:val="24"/>
              </w:rPr>
              <w:t xml:space="preserve">Combined</w:t>
            </w:r>
          </w:p>
        </w:tc>
        <w:tc>
          <w:tcPr>
            <w:tcW w:w="1800" w:type="dxa"/>
          </w:tcPr>
          <w:p w14:paraId="1A2B3CCF" w14:textId="77777777" w:rsidR="00A1B2C3" w:rsidRDefault="00A1B2C3">
            <w:r w:rsidRPr="00C4D5E6">
              <w:rPr>
                <w:rFonts w:ascii="Times New Roman" w:hAnsi="Times New Roman" w:eastAsia="宋体"/>
                <w:sz w:val="24"/>
                <w:szCs w:val="24"/>
              </w:rPr>
              <w:t xml:space="preserve">0.886</w:t>
            </w:r>
          </w:p>
        </w:tc>
        <w:tc>
          <w:tcPr>
            <w:tcW w:w="1800" w:type="dxa"/>
          </w:tcPr>
          <w:p w14:paraId="1A2B3CD0" w14:textId="77777777" w:rsidR="00A1B2C3" w:rsidRDefault="00A1B2C3">
            <w:r w:rsidRPr="00C4D5E6">
              <w:rPr>
                <w:rFonts w:ascii="Times New Roman" w:hAnsi="Times New Roman" w:eastAsia="宋体"/>
                <w:sz w:val="24"/>
                <w:szCs w:val="24"/>
              </w:rPr>
              <w:t xml:space="preserve">0.745</w:t>
            </w:r>
          </w:p>
        </w:tc>
        <w:tc>
          <w:tcPr>
            <w:tcW w:w="1800" w:type="dxa"/>
          </w:tcPr>
          <w:p w14:paraId="1A2B3CD1" w14:textId="77777777" w:rsidR="00A1B2C3" w:rsidRDefault="00A1B2C3">
            <w:r w:rsidRPr="00C4D5E6">
              <w:rPr>
                <w:rFonts w:ascii="Times New Roman" w:hAnsi="Times New Roman" w:eastAsia="宋体"/>
                <w:sz w:val="24"/>
                <w:szCs w:val="24"/>
              </w:rPr>
              <w:t xml:space="preserve">1.052</w:t>
            </w:r>
          </w:p>
        </w:tc>
      </w:tr>
      <w:tr>
        <w:tc>
          <w:tcPr>
            <w:tcW w:w="1800" w:type="dxa"/>
          </w:tcPr>
          <w:p w14:paraId="1A2B3CD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CD3" w14:textId="77777777" w:rsidR="00A1B2C3" w:rsidRDefault="00A1B2C3">
            <w:r w:rsidRPr="00C4D5E6">
              <w:rPr>
                <w:rFonts w:ascii="Times New Roman" w:hAnsi="Times New Roman" w:eastAsia="宋体"/>
                <w:sz w:val="24"/>
                <w:szCs w:val="24"/>
              </w:rPr>
              <w:t xml:space="preserve">Luo et al. ([12])</w:t>
            </w:r>
          </w:p>
        </w:tc>
        <w:tc>
          <w:tcPr>
            <w:tcW w:w="1800" w:type="dxa"/>
          </w:tcPr>
          <w:p w14:paraId="1A2B3CD4" w14:textId="77777777" w:rsidR="00A1B2C3" w:rsidRDefault="00A1B2C3">
            <w:r w:rsidRPr="00C4D5E6">
              <w:rPr>
                <w:rFonts w:ascii="Times New Roman" w:hAnsi="Times New Roman" w:eastAsia="宋体"/>
                <w:sz w:val="24"/>
                <w:szCs w:val="24"/>
              </w:rPr>
              <w:t xml:space="preserve">1.067</w:t>
            </w:r>
          </w:p>
        </w:tc>
        <w:tc>
          <w:tcPr>
            <w:tcW w:w="1800" w:type="dxa"/>
          </w:tcPr>
          <w:p w14:paraId="1A2B3CD5" w14:textId="77777777" w:rsidR="00A1B2C3" w:rsidRDefault="00A1B2C3">
            <w:r w:rsidRPr="00C4D5E6">
              <w:rPr>
                <w:rFonts w:ascii="Times New Roman" w:hAnsi="Times New Roman" w:eastAsia="宋体"/>
                <w:sz w:val="24"/>
                <w:szCs w:val="24"/>
              </w:rPr>
              <w:t xml:space="preserve">0.914</w:t>
            </w:r>
          </w:p>
        </w:tc>
        <w:tc>
          <w:tcPr>
            <w:tcW w:w="1800" w:type="dxa"/>
          </w:tcPr>
          <w:p w14:paraId="1A2B3CD6" w14:textId="77777777" w:rsidR="00A1B2C3" w:rsidRDefault="00A1B2C3">
            <w:r w:rsidRPr="00C4D5E6">
              <w:rPr>
                <w:rFonts w:ascii="Times New Roman" w:hAnsi="Times New Roman" w:eastAsia="宋体"/>
                <w:sz w:val="24"/>
                <w:szCs w:val="24"/>
              </w:rPr>
              <w:t xml:space="preserve">1.245</w:t>
            </w:r>
          </w:p>
        </w:tc>
      </w:tr>
      <w:tr>
        <w:tc>
          <w:tcPr>
            <w:tcW w:w="1800" w:type="dxa"/>
          </w:tcPr>
          <w:p w14:paraId="1A2B3CD7" w14:textId="77777777" w:rsidR="00A1B2C3" w:rsidRDefault="00A1B2C3"/>
        </w:tc>
        <w:tc>
          <w:tcPr>
            <w:tcW w:w="1800" w:type="dxa"/>
          </w:tcPr>
          <w:p w14:paraId="1A2B3CD8" w14:textId="77777777" w:rsidR="00A1B2C3" w:rsidRDefault="00A1B2C3">
            <w:r w:rsidRPr="00C4D5E6">
              <w:rPr>
                <w:rFonts w:ascii="Times New Roman" w:hAnsi="Times New Roman" w:eastAsia="宋体"/>
                <w:sz w:val="24"/>
                <w:szCs w:val="24"/>
              </w:rPr>
              <w:t xml:space="preserve">Xi et al. ([13])</w:t>
            </w:r>
          </w:p>
        </w:tc>
        <w:tc>
          <w:tcPr>
            <w:tcW w:w="1800" w:type="dxa"/>
          </w:tcPr>
          <w:p w14:paraId="1A2B3CD9" w14:textId="77777777" w:rsidR="00A1B2C3" w:rsidRDefault="00A1B2C3">
            <w:r w:rsidRPr="00C4D5E6">
              <w:rPr>
                <w:rFonts w:ascii="Times New Roman" w:hAnsi="Times New Roman" w:eastAsia="宋体"/>
                <w:sz w:val="24"/>
                <w:szCs w:val="24"/>
              </w:rPr>
              <w:t xml:space="preserve">0.938</w:t>
            </w:r>
          </w:p>
        </w:tc>
        <w:tc>
          <w:tcPr>
            <w:tcW w:w="1800" w:type="dxa"/>
          </w:tcPr>
          <w:p w14:paraId="1A2B3CDA" w14:textId="77777777" w:rsidR="00A1B2C3" w:rsidRDefault="00A1B2C3">
            <w:r w:rsidRPr="00C4D5E6">
              <w:rPr>
                <w:rFonts w:ascii="Times New Roman" w:hAnsi="Times New Roman" w:eastAsia="宋体"/>
                <w:sz w:val="24"/>
                <w:szCs w:val="24"/>
              </w:rPr>
              <w:t xml:space="preserve">0.797</w:t>
            </w:r>
          </w:p>
        </w:tc>
        <w:tc>
          <w:tcPr>
            <w:tcW w:w="1800" w:type="dxa"/>
          </w:tcPr>
          <w:p w14:paraId="1A2B3CDB" w14:textId="77777777" w:rsidR="00A1B2C3" w:rsidRDefault="00A1B2C3">
            <w:r w:rsidRPr="00C4D5E6">
              <w:rPr>
                <w:rFonts w:ascii="Times New Roman" w:hAnsi="Times New Roman" w:eastAsia="宋体"/>
                <w:sz w:val="24"/>
                <w:szCs w:val="24"/>
              </w:rPr>
              <w:t xml:space="preserve">1.104</w:t>
            </w:r>
          </w:p>
        </w:tc>
      </w:tr>
      <w:tr>
        <w:tc>
          <w:tcPr>
            <w:tcW w:w="1800" w:type="dxa"/>
          </w:tcPr>
          <w:p w14:paraId="1A2B3CDC" w14:textId="77777777" w:rsidR="00A1B2C3" w:rsidRDefault="00A1B2C3"/>
        </w:tc>
        <w:tc>
          <w:tcPr>
            <w:tcW w:w="1800" w:type="dxa"/>
          </w:tcPr>
          <w:p w14:paraId="1A2B3CDD" w14:textId="77777777" w:rsidR="00A1B2C3" w:rsidRDefault="00A1B2C3">
            <w:r w:rsidRPr="00C4D5E6">
              <w:rPr>
                <w:rFonts w:ascii="Times New Roman" w:hAnsi="Times New Roman" w:eastAsia="宋体"/>
                <w:sz w:val="24"/>
                <w:szCs w:val="24"/>
              </w:rPr>
              <w:t xml:space="preserve">Liu et al. ([14])</w:t>
            </w:r>
          </w:p>
        </w:tc>
        <w:tc>
          <w:tcPr>
            <w:tcW w:w="1800" w:type="dxa"/>
          </w:tcPr>
          <w:p w14:paraId="1A2B3CDE" w14:textId="77777777" w:rsidR="00A1B2C3" w:rsidRDefault="00A1B2C3">
            <w:r w:rsidRPr="00C4D5E6">
              <w:rPr>
                <w:rFonts w:ascii="Times New Roman" w:hAnsi="Times New Roman" w:eastAsia="宋体"/>
                <w:sz w:val="24"/>
                <w:szCs w:val="24"/>
              </w:rPr>
              <w:t xml:space="preserve">1.043</w:t>
            </w:r>
          </w:p>
        </w:tc>
        <w:tc>
          <w:tcPr>
            <w:tcW w:w="1800" w:type="dxa"/>
          </w:tcPr>
          <w:p w14:paraId="1A2B3CDF" w14:textId="77777777" w:rsidR="00A1B2C3" w:rsidRDefault="00A1B2C3">
            <w:r w:rsidRPr="00C4D5E6">
              <w:rPr>
                <w:rFonts w:ascii="Times New Roman" w:hAnsi="Times New Roman" w:eastAsia="宋体"/>
                <w:sz w:val="24"/>
                <w:szCs w:val="24"/>
              </w:rPr>
              <w:t xml:space="preserve">0.913</w:t>
            </w:r>
          </w:p>
        </w:tc>
        <w:tc>
          <w:tcPr>
            <w:tcW w:w="1800" w:type="dxa"/>
          </w:tcPr>
          <w:p w14:paraId="1A2B3CE0" w14:textId="77777777" w:rsidR="00A1B2C3" w:rsidRDefault="00A1B2C3">
            <w:r w:rsidRPr="00C4D5E6">
              <w:rPr>
                <w:rFonts w:ascii="Times New Roman" w:hAnsi="Times New Roman" w:eastAsia="宋体"/>
                <w:sz w:val="24"/>
                <w:szCs w:val="24"/>
              </w:rPr>
              <w:t xml:space="preserve">1.192</w:t>
            </w:r>
          </w:p>
        </w:tc>
      </w:tr>
      <w:tr>
        <w:tc>
          <w:tcPr>
            <w:tcW w:w="1800" w:type="dxa"/>
          </w:tcPr>
          <w:p w14:paraId="1A2B3CE1" w14:textId="77777777" w:rsidR="00A1B2C3" w:rsidRDefault="00A1B2C3"/>
        </w:tc>
        <w:tc>
          <w:tcPr>
            <w:tcW w:w="1800" w:type="dxa"/>
          </w:tcPr>
          <w:p w14:paraId="1A2B3CE2" w14:textId="77777777" w:rsidR="00A1B2C3" w:rsidRDefault="00A1B2C3">
            <w:r w:rsidRPr="00C4D5E6">
              <w:rPr>
                <w:rFonts w:ascii="Times New Roman" w:hAnsi="Times New Roman" w:eastAsia="宋体"/>
                <w:sz w:val="24"/>
                <w:szCs w:val="24"/>
              </w:rPr>
              <w:t xml:space="preserve">Combined</w:t>
            </w:r>
          </w:p>
        </w:tc>
        <w:tc>
          <w:tcPr>
            <w:tcW w:w="1800" w:type="dxa"/>
          </w:tcPr>
          <w:p w14:paraId="1A2B3CE3" w14:textId="77777777" w:rsidR="00A1B2C3" w:rsidRDefault="00A1B2C3">
            <w:r w:rsidRPr="00C4D5E6">
              <w:rPr>
                <w:rFonts w:ascii="Times New Roman" w:hAnsi="Times New Roman" w:eastAsia="宋体"/>
                <w:sz w:val="24"/>
                <w:szCs w:val="24"/>
              </w:rPr>
              <w:t xml:space="preserve">1.026</w:t>
            </w:r>
          </w:p>
        </w:tc>
        <w:tc>
          <w:tcPr>
            <w:tcW w:w="1800" w:type="dxa"/>
          </w:tcPr>
          <w:p w14:paraId="1A2B3CE4" w14:textId="77777777" w:rsidR="00A1B2C3" w:rsidRDefault="00A1B2C3">
            <w:r w:rsidRPr="00C4D5E6">
              <w:rPr>
                <w:rFonts w:ascii="Times New Roman" w:hAnsi="Times New Roman" w:eastAsia="宋体"/>
                <w:sz w:val="24"/>
                <w:szCs w:val="24"/>
              </w:rPr>
              <w:t xml:space="preserve">0.908</w:t>
            </w:r>
          </w:p>
        </w:tc>
        <w:tc>
          <w:tcPr>
            <w:tcW w:w="1800" w:type="dxa"/>
          </w:tcPr>
          <w:p w14:paraId="1A2B3CE5" w14:textId="77777777" w:rsidR="00A1B2C3" w:rsidRDefault="00A1B2C3">
            <w:r w:rsidRPr="00C4D5E6">
              <w:rPr>
                <w:rFonts w:ascii="Times New Roman" w:hAnsi="Times New Roman" w:eastAsia="宋体"/>
                <w:sz w:val="24"/>
                <w:szCs w:val="24"/>
              </w:rPr>
              <w:t xml:space="preserve">1.160</w:t>
            </w:r>
          </w:p>
        </w:tc>
      </w:tr>
    </w:tbl>
    <w:p w14:paraId="1A2B3CE6"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CE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Sensitivity analysis for 1-, 2-, 3-, and 5-year OS rate, LRR, and DMR (CCRT vs. CCRT-CCT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E8" w14:textId="77777777" w:rsidR="00A1B2C3" w:rsidRDefault="00A1B2C3">
            <w:r w:rsidRPr="00C4D5E6">
              <w:rPr>
                <w:rFonts w:ascii="Times New Roman" w:hAnsi="Times New Roman" w:eastAsia="宋体"/>
                <w:sz w:val="24"/>
                <w:szCs w:val="24"/>
              </w:rPr>
              <w:t xml:space="preserve">Items</w:t>
            </w:r>
          </w:p>
        </w:tc>
        <w:tc>
          <w:tcPr>
            <w:tcW w:w="1800" w:type="dxa"/>
          </w:tcPr>
          <w:p w14:paraId="1A2B3CE9" w14:textId="77777777" w:rsidR="00A1B2C3" w:rsidRDefault="00A1B2C3">
            <w:r w:rsidRPr="00C4D5E6">
              <w:rPr>
                <w:rFonts w:ascii="Times New Roman" w:hAnsi="Times New Roman" w:eastAsia="宋体"/>
                <w:sz w:val="24"/>
                <w:szCs w:val="24"/>
              </w:rPr>
              <w:t xml:space="preserve">Study omitted</w:t>
            </w:r>
          </w:p>
        </w:tc>
        <w:tc>
          <w:tcPr>
            <w:tcW w:w="1800" w:type="dxa"/>
          </w:tcPr>
          <w:p w14:paraId="1A2B3CEA" w14:textId="77777777" w:rsidR="00A1B2C3" w:rsidRDefault="00A1B2C3">
            <w:r w:rsidRPr="00C4D5E6">
              <w:rPr>
                <w:rFonts w:ascii="Times New Roman" w:hAnsi="Times New Roman" w:eastAsia="宋体"/>
                <w:sz w:val="24"/>
                <w:szCs w:val="24"/>
              </w:rPr>
              <w:t xml:space="preserve">Estimate</w:t>
            </w:r>
          </w:p>
        </w:tc>
        <w:tc>
          <w:tcPr>
            <w:tcW w:w="1800" w:type="dxa"/>
          </w:tcPr>
          <w:p w14:paraId="1A2B3CEB" w14:textId="77777777" w:rsidR="00A1B2C3" w:rsidRDefault="00A1B2C3">
            <w:r w:rsidRPr="00C4D5E6">
              <w:rPr>
                <w:rFonts w:ascii="Times New Roman" w:hAnsi="Times New Roman" w:eastAsia="宋体"/>
                <w:sz w:val="24"/>
                <w:szCs w:val="24"/>
              </w:rPr>
              <w:t xml:space="preserve">95% CI</w:t>
            </w:r>
          </w:p>
        </w:tc>
        <w:tc>
          <w:tcPr>
            <w:tcW w:w="1800" w:type="dxa"/>
          </w:tcPr>
          <w:p w14:paraId="1A2B3CEC" w14:textId="77777777" w:rsidR="00A1B2C3" w:rsidRDefault="00A1B2C3"/>
        </w:tc>
      </w:tr>
      <w:tr>
        <w:tc>
          <w:tcPr>
            <w:tcW w:w="1800" w:type="dxa"/>
          </w:tcPr>
          <w:p w14:paraId="1A2B3CED"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EE" w14:textId="77777777" w:rsidR="00A1B2C3" w:rsidRDefault="00A1B2C3">
            <w:r w:rsidRPr="00C4D5E6">
              <w:rPr>
                <w:rFonts w:ascii="Times New Roman" w:hAnsi="Times New Roman" w:eastAsia="宋体"/>
                <w:sz w:val="24"/>
                <w:szCs w:val="24"/>
              </w:rPr>
              <w:t xml:space="preserve">Wu et al. ([15])</w:t>
            </w:r>
          </w:p>
        </w:tc>
        <w:tc>
          <w:tcPr>
            <w:tcW w:w="1800" w:type="dxa"/>
          </w:tcPr>
          <w:p w14:paraId="1A2B3CEF" w14:textId="77777777" w:rsidR="00A1B2C3" w:rsidRDefault="00A1B2C3">
            <w:r w:rsidRPr="00C4D5E6">
              <w:rPr>
                <w:rFonts w:ascii="Times New Roman" w:hAnsi="Times New Roman" w:eastAsia="宋体"/>
                <w:sz w:val="24"/>
                <w:szCs w:val="24"/>
              </w:rPr>
              <w:t xml:space="preserve">0.588</w:t>
            </w:r>
          </w:p>
        </w:tc>
        <w:tc>
          <w:tcPr>
            <w:tcW w:w="1800" w:type="dxa"/>
          </w:tcPr>
          <w:p w14:paraId="1A2B3CF0" w14:textId="77777777" w:rsidR="00A1B2C3" w:rsidRDefault="00A1B2C3">
            <w:r w:rsidRPr="00C4D5E6">
              <w:rPr>
                <w:rFonts w:ascii="Times New Roman" w:hAnsi="Times New Roman" w:eastAsia="宋体"/>
                <w:sz w:val="24"/>
                <w:szCs w:val="24"/>
              </w:rPr>
              <w:t xml:space="preserve">0.467</w:t>
            </w:r>
          </w:p>
        </w:tc>
        <w:tc>
          <w:tcPr>
            <w:tcW w:w="1800" w:type="dxa"/>
          </w:tcPr>
          <w:p w14:paraId="1A2B3CF1" w14:textId="77777777" w:rsidR="00A1B2C3" w:rsidRDefault="00A1B2C3">
            <w:r w:rsidRPr="00C4D5E6">
              <w:rPr>
                <w:rFonts w:ascii="Times New Roman" w:hAnsi="Times New Roman" w:eastAsia="宋体"/>
                <w:sz w:val="24"/>
                <w:szCs w:val="24"/>
              </w:rPr>
              <w:t xml:space="preserve">0.741</w:t>
            </w:r>
          </w:p>
        </w:tc>
      </w:tr>
      <w:tr>
        <w:tc>
          <w:tcPr>
            <w:tcW w:w="1800" w:type="dxa"/>
          </w:tcPr>
          <w:p w14:paraId="1A2B3CF2" w14:textId="77777777" w:rsidR="00A1B2C3" w:rsidRDefault="00A1B2C3"/>
        </w:tc>
        <w:tc>
          <w:tcPr>
            <w:tcW w:w="1800" w:type="dxa"/>
          </w:tcPr>
          <w:p w14:paraId="1A2B3CF3" w14:textId="77777777" w:rsidR="00A1B2C3" w:rsidRDefault="00A1B2C3">
            <w:r w:rsidRPr="00C4D5E6">
              <w:rPr>
                <w:rFonts w:ascii="Times New Roman" w:hAnsi="Times New Roman" w:eastAsia="宋体"/>
                <w:sz w:val="24"/>
                <w:szCs w:val="24"/>
              </w:rPr>
              <w:t xml:space="preserve">Chen et al. ([16])</w:t>
            </w:r>
          </w:p>
        </w:tc>
        <w:tc>
          <w:tcPr>
            <w:tcW w:w="1800" w:type="dxa"/>
          </w:tcPr>
          <w:p w14:paraId="1A2B3CF4" w14:textId="77777777" w:rsidR="00A1B2C3" w:rsidRDefault="00A1B2C3">
            <w:r w:rsidRPr="00C4D5E6">
              <w:rPr>
                <w:rFonts w:ascii="Times New Roman" w:hAnsi="Times New Roman" w:eastAsia="宋体"/>
                <w:sz w:val="24"/>
                <w:szCs w:val="24"/>
              </w:rPr>
              <w:t xml:space="preserve">0.667</w:t>
            </w:r>
          </w:p>
        </w:tc>
        <w:tc>
          <w:tcPr>
            <w:tcW w:w="1800" w:type="dxa"/>
          </w:tcPr>
          <w:p w14:paraId="1A2B3CF5" w14:textId="77777777" w:rsidR="00A1B2C3" w:rsidRDefault="00A1B2C3">
            <w:r w:rsidRPr="00C4D5E6">
              <w:rPr>
                <w:rFonts w:ascii="Times New Roman" w:hAnsi="Times New Roman" w:eastAsia="宋体"/>
                <w:sz w:val="24"/>
                <w:szCs w:val="24"/>
              </w:rPr>
              <w:t xml:space="preserve">0.538</w:t>
            </w:r>
          </w:p>
        </w:tc>
        <w:tc>
          <w:tcPr>
            <w:tcW w:w="1800" w:type="dxa"/>
          </w:tcPr>
          <w:p w14:paraId="1A2B3CF6" w14:textId="77777777" w:rsidR="00A1B2C3" w:rsidRDefault="00A1B2C3">
            <w:r w:rsidRPr="00C4D5E6">
              <w:rPr>
                <w:rFonts w:ascii="Times New Roman" w:hAnsi="Times New Roman" w:eastAsia="宋体"/>
                <w:sz w:val="24"/>
                <w:szCs w:val="24"/>
              </w:rPr>
              <w:t xml:space="preserve">0.826</w:t>
            </w:r>
          </w:p>
        </w:tc>
      </w:tr>
      <w:tr>
        <w:tc>
          <w:tcPr>
            <w:tcW w:w="1800" w:type="dxa"/>
          </w:tcPr>
          <w:p w14:paraId="1A2B3CF7" w14:textId="77777777" w:rsidR="00A1B2C3" w:rsidRDefault="00A1B2C3"/>
        </w:tc>
        <w:tc>
          <w:tcPr>
            <w:tcW w:w="1800" w:type="dxa"/>
          </w:tcPr>
          <w:p w14:paraId="1A2B3CF8" w14:textId="77777777" w:rsidR="00A1B2C3" w:rsidRDefault="00A1B2C3">
            <w:r w:rsidRPr="00C4D5E6">
              <w:rPr>
                <w:rFonts w:ascii="Times New Roman" w:hAnsi="Times New Roman" w:eastAsia="宋体"/>
                <w:sz w:val="24"/>
                <w:szCs w:val="24"/>
              </w:rPr>
              <w:t xml:space="preserve">Chen et al. ([17])</w:t>
            </w:r>
          </w:p>
        </w:tc>
        <w:tc>
          <w:tcPr>
            <w:tcW w:w="1800" w:type="dxa"/>
          </w:tcPr>
          <w:p w14:paraId="1A2B3CF9" w14:textId="77777777" w:rsidR="00A1B2C3" w:rsidRDefault="00A1B2C3">
            <w:r w:rsidRPr="00C4D5E6">
              <w:rPr>
                <w:rFonts w:ascii="Times New Roman" w:hAnsi="Times New Roman" w:eastAsia="宋体"/>
                <w:sz w:val="24"/>
                <w:szCs w:val="24"/>
              </w:rPr>
              <w:t xml:space="preserve">0.625</w:t>
            </w:r>
          </w:p>
        </w:tc>
        <w:tc>
          <w:tcPr>
            <w:tcW w:w="1800" w:type="dxa"/>
          </w:tcPr>
          <w:p w14:paraId="1A2B3CFA" w14:textId="77777777" w:rsidR="00A1B2C3" w:rsidRDefault="00A1B2C3">
            <w:r w:rsidRPr="00C4D5E6">
              <w:rPr>
                <w:rFonts w:ascii="Times New Roman" w:hAnsi="Times New Roman" w:eastAsia="宋体"/>
                <w:sz w:val="24"/>
                <w:szCs w:val="24"/>
              </w:rPr>
              <w:t xml:space="preserve">0.501</w:t>
            </w:r>
          </w:p>
        </w:tc>
        <w:tc>
          <w:tcPr>
            <w:tcW w:w="1800" w:type="dxa"/>
          </w:tcPr>
          <w:p w14:paraId="1A2B3CFB" w14:textId="77777777" w:rsidR="00A1B2C3" w:rsidRDefault="00A1B2C3">
            <w:r w:rsidRPr="00C4D5E6">
              <w:rPr>
                <w:rFonts w:ascii="Times New Roman" w:hAnsi="Times New Roman" w:eastAsia="宋体"/>
                <w:sz w:val="24"/>
                <w:szCs w:val="24"/>
              </w:rPr>
              <w:t xml:space="preserve">0.780</w:t>
            </w:r>
          </w:p>
        </w:tc>
      </w:tr>
      <w:tr>
        <w:tc>
          <w:tcPr>
            <w:tcW w:w="1800" w:type="dxa"/>
          </w:tcPr>
          <w:p w14:paraId="1A2B3CFC" w14:textId="77777777" w:rsidR="00A1B2C3" w:rsidRDefault="00A1B2C3"/>
        </w:tc>
        <w:tc>
          <w:tcPr>
            <w:tcW w:w="1800" w:type="dxa"/>
          </w:tcPr>
          <w:p w14:paraId="1A2B3CFD" w14:textId="77777777" w:rsidR="00A1B2C3" w:rsidRDefault="00A1B2C3">
            <w:r w:rsidRPr="00C4D5E6">
              <w:rPr>
                <w:rFonts w:ascii="Times New Roman" w:hAnsi="Times New Roman" w:eastAsia="宋体"/>
                <w:sz w:val="24"/>
                <w:szCs w:val="24"/>
              </w:rPr>
              <w:t xml:space="preserve">Chen et al. ([18])</w:t>
            </w:r>
          </w:p>
        </w:tc>
        <w:tc>
          <w:tcPr>
            <w:tcW w:w="1800" w:type="dxa"/>
          </w:tcPr>
          <w:p w14:paraId="1A2B3CFE" w14:textId="77777777" w:rsidR="00A1B2C3" w:rsidRDefault="00A1B2C3">
            <w:r w:rsidRPr="00C4D5E6">
              <w:rPr>
                <w:rFonts w:ascii="Times New Roman" w:hAnsi="Times New Roman" w:eastAsia="宋体"/>
                <w:sz w:val="24"/>
                <w:szCs w:val="24"/>
              </w:rPr>
              <w:t xml:space="preserve">0.651</w:t>
            </w:r>
          </w:p>
        </w:tc>
        <w:tc>
          <w:tcPr>
            <w:tcW w:w="1800" w:type="dxa"/>
          </w:tcPr>
          <w:p w14:paraId="1A2B3CFF" w14:textId="77777777" w:rsidR="00A1B2C3" w:rsidRDefault="00A1B2C3">
            <w:r w:rsidRPr="00C4D5E6">
              <w:rPr>
                <w:rFonts w:ascii="Times New Roman" w:hAnsi="Times New Roman" w:eastAsia="宋体"/>
                <w:sz w:val="24"/>
                <w:szCs w:val="24"/>
              </w:rPr>
              <w:t xml:space="preserve">0.528</w:t>
            </w:r>
          </w:p>
        </w:tc>
        <w:tc>
          <w:tcPr>
            <w:tcW w:w="1800" w:type="dxa"/>
          </w:tcPr>
          <w:p w14:paraId="1A2B3D00" w14:textId="77777777" w:rsidR="00A1B2C3" w:rsidRDefault="00A1B2C3">
            <w:r w:rsidRPr="00C4D5E6">
              <w:rPr>
                <w:rFonts w:ascii="Times New Roman" w:hAnsi="Times New Roman" w:eastAsia="宋体"/>
                <w:sz w:val="24"/>
                <w:szCs w:val="24"/>
              </w:rPr>
              <w:t xml:space="preserve">0.802</w:t>
            </w:r>
          </w:p>
        </w:tc>
      </w:tr>
      <w:tr>
        <w:tc>
          <w:tcPr>
            <w:tcW w:w="1800" w:type="dxa"/>
          </w:tcPr>
          <w:p w14:paraId="1A2B3D01" w14:textId="77777777" w:rsidR="00A1B2C3" w:rsidRDefault="00A1B2C3"/>
        </w:tc>
        <w:tc>
          <w:tcPr>
            <w:tcW w:w="1800" w:type="dxa"/>
          </w:tcPr>
          <w:p w14:paraId="1A2B3D02" w14:textId="77777777" w:rsidR="00A1B2C3" w:rsidRDefault="00A1B2C3">
            <w:r w:rsidRPr="00C4D5E6">
              <w:rPr>
                <w:rFonts w:ascii="Times New Roman" w:hAnsi="Times New Roman" w:eastAsia="宋体"/>
                <w:sz w:val="24"/>
                <w:szCs w:val="24"/>
              </w:rPr>
              <w:t xml:space="preserve">Koh et al. ([19])</w:t>
            </w:r>
          </w:p>
        </w:tc>
        <w:tc>
          <w:tcPr>
            <w:tcW w:w="1800" w:type="dxa"/>
          </w:tcPr>
          <w:p w14:paraId="1A2B3D03" w14:textId="77777777" w:rsidR="00A1B2C3" w:rsidRDefault="00A1B2C3">
            <w:r w:rsidRPr="00C4D5E6">
              <w:rPr>
                <w:rFonts w:ascii="Times New Roman" w:hAnsi="Times New Roman" w:eastAsia="宋体"/>
                <w:sz w:val="24"/>
                <w:szCs w:val="24"/>
              </w:rPr>
              <w:t xml:space="preserve">0.649</w:t>
            </w:r>
          </w:p>
        </w:tc>
        <w:tc>
          <w:tcPr>
            <w:tcW w:w="1800" w:type="dxa"/>
          </w:tcPr>
          <w:p w14:paraId="1A2B3D04" w14:textId="77777777" w:rsidR="00A1B2C3" w:rsidRDefault="00A1B2C3">
            <w:r w:rsidRPr="00C4D5E6">
              <w:rPr>
                <w:rFonts w:ascii="Times New Roman" w:hAnsi="Times New Roman" w:eastAsia="宋体"/>
                <w:sz w:val="24"/>
                <w:szCs w:val="24"/>
              </w:rPr>
              <w:t xml:space="preserve">0.522</w:t>
            </w:r>
          </w:p>
        </w:tc>
        <w:tc>
          <w:tcPr>
            <w:tcW w:w="1800" w:type="dxa"/>
          </w:tcPr>
          <w:p w14:paraId="1A2B3D05" w14:textId="77777777" w:rsidR="00A1B2C3" w:rsidRDefault="00A1B2C3">
            <w:r w:rsidRPr="00C4D5E6">
              <w:rPr>
                <w:rFonts w:ascii="Times New Roman" w:hAnsi="Times New Roman" w:eastAsia="宋体"/>
                <w:sz w:val="24"/>
                <w:szCs w:val="24"/>
              </w:rPr>
              <w:t xml:space="preserve">0.805</w:t>
            </w:r>
          </w:p>
        </w:tc>
      </w:tr>
      <w:tr>
        <w:tc>
          <w:tcPr>
            <w:tcW w:w="1800" w:type="dxa"/>
          </w:tcPr>
          <w:p w14:paraId="1A2B3D06" w14:textId="77777777" w:rsidR="00A1B2C3" w:rsidRDefault="00A1B2C3"/>
        </w:tc>
        <w:tc>
          <w:tcPr>
            <w:tcW w:w="1800" w:type="dxa"/>
          </w:tcPr>
          <w:p w14:paraId="1A2B3D07" w14:textId="77777777" w:rsidR="00A1B2C3" w:rsidRDefault="00A1B2C3">
            <w:r w:rsidRPr="00C4D5E6">
              <w:rPr>
                <w:rFonts w:ascii="Times New Roman" w:hAnsi="Times New Roman" w:eastAsia="宋体"/>
                <w:sz w:val="24"/>
                <w:szCs w:val="24"/>
              </w:rPr>
              <w:t xml:space="preserve">Zhang et al. ([20])</w:t>
            </w:r>
          </w:p>
        </w:tc>
        <w:tc>
          <w:tcPr>
            <w:tcW w:w="1800" w:type="dxa"/>
          </w:tcPr>
          <w:p w14:paraId="1A2B3D08" w14:textId="77777777" w:rsidR="00A1B2C3" w:rsidRDefault="00A1B2C3">
            <w:r w:rsidRPr="00C4D5E6">
              <w:rPr>
                <w:rFonts w:ascii="Times New Roman" w:hAnsi="Times New Roman" w:eastAsia="宋体"/>
                <w:sz w:val="24"/>
                <w:szCs w:val="24"/>
              </w:rPr>
              <w:t xml:space="preserve">0.687</w:t>
            </w:r>
          </w:p>
        </w:tc>
        <w:tc>
          <w:tcPr>
            <w:tcW w:w="1800" w:type="dxa"/>
          </w:tcPr>
          <w:p w14:paraId="1A2B3D09" w14:textId="77777777" w:rsidR="00A1B2C3" w:rsidRDefault="00A1B2C3">
            <w:r w:rsidRPr="00C4D5E6">
              <w:rPr>
                <w:rFonts w:ascii="Times New Roman" w:hAnsi="Times New Roman" w:eastAsia="宋体"/>
                <w:sz w:val="24"/>
                <w:szCs w:val="24"/>
              </w:rPr>
              <w:t xml:space="preserve">0.551</w:t>
            </w:r>
          </w:p>
        </w:tc>
        <w:tc>
          <w:tcPr>
            <w:tcW w:w="1800" w:type="dxa"/>
          </w:tcPr>
          <w:p w14:paraId="1A2B3D0A" w14:textId="77777777" w:rsidR="00A1B2C3" w:rsidRDefault="00A1B2C3">
            <w:r w:rsidRPr="00C4D5E6">
              <w:rPr>
                <w:rFonts w:ascii="Times New Roman" w:hAnsi="Times New Roman" w:eastAsia="宋体"/>
                <w:sz w:val="24"/>
                <w:szCs w:val="24"/>
              </w:rPr>
              <w:t xml:space="preserve">0.857</w:t>
            </w:r>
          </w:p>
        </w:tc>
      </w:tr>
      <w:tr>
        <w:tc>
          <w:tcPr>
            <w:tcW w:w="1800" w:type="dxa"/>
          </w:tcPr>
          <w:p w14:paraId="1A2B3D0B" w14:textId="77777777" w:rsidR="00A1B2C3" w:rsidRDefault="00A1B2C3"/>
        </w:tc>
        <w:tc>
          <w:tcPr>
            <w:tcW w:w="1800" w:type="dxa"/>
          </w:tcPr>
          <w:p w14:paraId="1A2B3D0C" w14:textId="77777777" w:rsidR="00A1B2C3" w:rsidRDefault="00A1B2C3">
            <w:r w:rsidRPr="00C4D5E6">
              <w:rPr>
                <w:rFonts w:ascii="Times New Roman" w:hAnsi="Times New Roman" w:eastAsia="宋体"/>
                <w:sz w:val="24"/>
                <w:szCs w:val="24"/>
              </w:rPr>
              <w:t xml:space="preserve">Combined</w:t>
            </w:r>
          </w:p>
        </w:tc>
        <w:tc>
          <w:tcPr>
            <w:tcW w:w="1800" w:type="dxa"/>
          </w:tcPr>
          <w:p w14:paraId="1A2B3D0D" w14:textId="77777777" w:rsidR="00A1B2C3" w:rsidRDefault="00A1B2C3">
            <w:r w:rsidRPr="00C4D5E6">
              <w:rPr>
                <w:rFonts w:ascii="Times New Roman" w:hAnsi="Times New Roman" w:eastAsia="宋体"/>
                <w:sz w:val="24"/>
                <w:szCs w:val="24"/>
              </w:rPr>
              <w:t xml:space="preserve">0.644</w:t>
            </w:r>
          </w:p>
        </w:tc>
        <w:tc>
          <w:tcPr>
            <w:tcW w:w="1800" w:type="dxa"/>
          </w:tcPr>
          <w:p w14:paraId="1A2B3D0E" w14:textId="77777777" w:rsidR="00A1B2C3" w:rsidRDefault="00A1B2C3">
            <w:r w:rsidRPr="00C4D5E6">
              <w:rPr>
                <w:rFonts w:ascii="Times New Roman" w:hAnsi="Times New Roman" w:eastAsia="宋体"/>
                <w:sz w:val="24"/>
                <w:szCs w:val="24"/>
              </w:rPr>
              <w:t xml:space="preserve">0.528</w:t>
            </w:r>
          </w:p>
        </w:tc>
        <w:tc>
          <w:tcPr>
            <w:tcW w:w="1800" w:type="dxa"/>
          </w:tcPr>
          <w:p w14:paraId="1A2B3D0F" w14:textId="77777777" w:rsidR="00A1B2C3" w:rsidRDefault="00A1B2C3">
            <w:r w:rsidRPr="00C4D5E6">
              <w:rPr>
                <w:rFonts w:ascii="Times New Roman" w:hAnsi="Times New Roman" w:eastAsia="宋体"/>
                <w:sz w:val="24"/>
                <w:szCs w:val="24"/>
              </w:rPr>
              <w:t xml:space="preserve">0.786</w:t>
            </w:r>
          </w:p>
        </w:tc>
      </w:tr>
      <w:tr>
        <w:tc>
          <w:tcPr>
            <w:tcW w:w="1800" w:type="dxa"/>
          </w:tcPr>
          <w:p w14:paraId="1A2B3D10"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11" w14:textId="77777777" w:rsidR="00A1B2C3" w:rsidRDefault="00A1B2C3">
            <w:r w:rsidRPr="00C4D5E6">
              <w:rPr>
                <w:rFonts w:ascii="Times New Roman" w:hAnsi="Times New Roman" w:eastAsia="宋体"/>
                <w:sz w:val="24"/>
                <w:szCs w:val="24"/>
              </w:rPr>
              <w:t xml:space="preserve">Wu et al. ([15])</w:t>
            </w:r>
          </w:p>
        </w:tc>
        <w:tc>
          <w:tcPr>
            <w:tcW w:w="1800" w:type="dxa"/>
          </w:tcPr>
          <w:p w14:paraId="1A2B3D12" w14:textId="77777777" w:rsidR="00A1B2C3" w:rsidRDefault="00A1B2C3">
            <w:r w:rsidRPr="00C4D5E6">
              <w:rPr>
                <w:rFonts w:ascii="Times New Roman" w:hAnsi="Times New Roman" w:eastAsia="宋体"/>
                <w:sz w:val="24"/>
                <w:szCs w:val="24"/>
              </w:rPr>
              <w:t xml:space="preserve">0.872</w:t>
            </w:r>
          </w:p>
        </w:tc>
        <w:tc>
          <w:tcPr>
            <w:tcW w:w="1800" w:type="dxa"/>
          </w:tcPr>
          <w:p w14:paraId="1A2B3D13" w14:textId="77777777" w:rsidR="00A1B2C3" w:rsidRDefault="00A1B2C3">
            <w:r w:rsidRPr="00C4D5E6">
              <w:rPr>
                <w:rFonts w:ascii="Times New Roman" w:hAnsi="Times New Roman" w:eastAsia="宋体"/>
                <w:sz w:val="24"/>
                <w:szCs w:val="24"/>
              </w:rPr>
              <w:t xml:space="preserve">0.745</w:t>
            </w:r>
          </w:p>
        </w:tc>
        <w:tc>
          <w:tcPr>
            <w:tcW w:w="1800" w:type="dxa"/>
          </w:tcPr>
          <w:p w14:paraId="1A2B3D14" w14:textId="77777777" w:rsidR="00A1B2C3" w:rsidRDefault="00A1B2C3">
            <w:r w:rsidRPr="00C4D5E6">
              <w:rPr>
                <w:rFonts w:ascii="Times New Roman" w:hAnsi="Times New Roman" w:eastAsia="宋体"/>
                <w:sz w:val="24"/>
                <w:szCs w:val="24"/>
              </w:rPr>
              <w:t xml:space="preserve">1.020</w:t>
            </w:r>
          </w:p>
        </w:tc>
      </w:tr>
      <w:tr>
        <w:tc>
          <w:tcPr>
            <w:tcW w:w="1800" w:type="dxa"/>
          </w:tcPr>
          <w:p w14:paraId="1A2B3D15" w14:textId="77777777" w:rsidR="00A1B2C3" w:rsidRDefault="00A1B2C3"/>
        </w:tc>
        <w:tc>
          <w:tcPr>
            <w:tcW w:w="1800" w:type="dxa"/>
          </w:tcPr>
          <w:p w14:paraId="1A2B3D16" w14:textId="77777777" w:rsidR="00A1B2C3" w:rsidRDefault="00A1B2C3">
            <w:r w:rsidRPr="00C4D5E6">
              <w:rPr>
                <w:rFonts w:ascii="Times New Roman" w:hAnsi="Times New Roman" w:eastAsia="宋体"/>
                <w:sz w:val="24"/>
                <w:szCs w:val="24"/>
              </w:rPr>
              <w:t xml:space="preserve">Chen et al. ([16])</w:t>
            </w:r>
          </w:p>
        </w:tc>
        <w:tc>
          <w:tcPr>
            <w:tcW w:w="1800" w:type="dxa"/>
          </w:tcPr>
          <w:p w14:paraId="1A2B3D17" w14:textId="77777777" w:rsidR="00A1B2C3" w:rsidRDefault="00A1B2C3">
            <w:r w:rsidRPr="00C4D5E6">
              <w:rPr>
                <w:rFonts w:ascii="Times New Roman" w:hAnsi="Times New Roman" w:eastAsia="宋体"/>
                <w:sz w:val="24"/>
                <w:szCs w:val="24"/>
              </w:rPr>
              <w:t xml:space="preserve">0.888</w:t>
            </w:r>
          </w:p>
        </w:tc>
        <w:tc>
          <w:tcPr>
            <w:tcW w:w="1800" w:type="dxa"/>
          </w:tcPr>
          <w:p w14:paraId="1A2B3D18" w14:textId="77777777" w:rsidR="00A1B2C3" w:rsidRDefault="00A1B2C3">
            <w:r w:rsidRPr="00C4D5E6">
              <w:rPr>
                <w:rFonts w:ascii="Times New Roman" w:hAnsi="Times New Roman" w:eastAsia="宋体"/>
                <w:sz w:val="24"/>
                <w:szCs w:val="24"/>
              </w:rPr>
              <w:t xml:space="preserve">0.765</w:t>
            </w:r>
          </w:p>
        </w:tc>
        <w:tc>
          <w:tcPr>
            <w:tcW w:w="1800" w:type="dxa"/>
          </w:tcPr>
          <w:p w14:paraId="1A2B3D19" w14:textId="77777777" w:rsidR="00A1B2C3" w:rsidRDefault="00A1B2C3">
            <w:r w:rsidRPr="00C4D5E6">
              <w:rPr>
                <w:rFonts w:ascii="Times New Roman" w:hAnsi="Times New Roman" w:eastAsia="宋体"/>
                <w:sz w:val="24"/>
                <w:szCs w:val="24"/>
              </w:rPr>
              <w:t xml:space="preserve">1.030</w:t>
            </w:r>
          </w:p>
        </w:tc>
      </w:tr>
      <w:tr>
        <w:tc>
          <w:tcPr>
            <w:tcW w:w="1800" w:type="dxa"/>
          </w:tcPr>
          <w:p w14:paraId="1A2B3D1A" w14:textId="77777777" w:rsidR="00A1B2C3" w:rsidRDefault="00A1B2C3"/>
        </w:tc>
        <w:tc>
          <w:tcPr>
            <w:tcW w:w="1800" w:type="dxa"/>
          </w:tcPr>
          <w:p w14:paraId="1A2B3D1B" w14:textId="77777777" w:rsidR="00A1B2C3" w:rsidRDefault="00A1B2C3">
            <w:r w:rsidRPr="00C4D5E6">
              <w:rPr>
                <w:rFonts w:ascii="Times New Roman" w:hAnsi="Times New Roman" w:eastAsia="宋体"/>
                <w:sz w:val="24"/>
                <w:szCs w:val="24"/>
              </w:rPr>
              <w:t xml:space="preserve">Chen et al. ([17])</w:t>
            </w:r>
          </w:p>
        </w:tc>
        <w:tc>
          <w:tcPr>
            <w:tcW w:w="1800" w:type="dxa"/>
          </w:tcPr>
          <w:p w14:paraId="1A2B3D1C" w14:textId="77777777" w:rsidR="00A1B2C3" w:rsidRDefault="00A1B2C3">
            <w:r w:rsidRPr="00C4D5E6">
              <w:rPr>
                <w:rFonts w:ascii="Times New Roman" w:hAnsi="Times New Roman" w:eastAsia="宋体"/>
                <w:sz w:val="24"/>
                <w:szCs w:val="24"/>
              </w:rPr>
              <w:t xml:space="preserve">0.896</w:t>
            </w:r>
          </w:p>
        </w:tc>
        <w:tc>
          <w:tcPr>
            <w:tcW w:w="1800" w:type="dxa"/>
          </w:tcPr>
          <w:p w14:paraId="1A2B3D1D" w14:textId="77777777" w:rsidR="00A1B2C3" w:rsidRDefault="00A1B2C3">
            <w:r w:rsidRPr="00C4D5E6">
              <w:rPr>
                <w:rFonts w:ascii="Times New Roman" w:hAnsi="Times New Roman" w:eastAsia="宋体"/>
                <w:sz w:val="24"/>
                <w:szCs w:val="24"/>
              </w:rPr>
              <w:t xml:space="preserve">0.770</w:t>
            </w:r>
          </w:p>
        </w:tc>
        <w:tc>
          <w:tcPr>
            <w:tcW w:w="1800" w:type="dxa"/>
          </w:tcPr>
          <w:p w14:paraId="1A2B3D1E" w14:textId="77777777" w:rsidR="00A1B2C3" w:rsidRDefault="00A1B2C3">
            <w:r w:rsidRPr="00C4D5E6">
              <w:rPr>
                <w:rFonts w:ascii="Times New Roman" w:hAnsi="Times New Roman" w:eastAsia="宋体"/>
                <w:sz w:val="24"/>
                <w:szCs w:val="24"/>
              </w:rPr>
              <w:t xml:space="preserve">1.042</w:t>
            </w:r>
          </w:p>
        </w:tc>
      </w:tr>
      <w:tr>
        <w:tc>
          <w:tcPr>
            <w:tcW w:w="1800" w:type="dxa"/>
          </w:tcPr>
          <w:p w14:paraId="1A2B3D1F" w14:textId="77777777" w:rsidR="00A1B2C3" w:rsidRDefault="00A1B2C3"/>
        </w:tc>
        <w:tc>
          <w:tcPr>
            <w:tcW w:w="1800" w:type="dxa"/>
          </w:tcPr>
          <w:p w14:paraId="1A2B3D20" w14:textId="77777777" w:rsidR="00A1B2C3" w:rsidRDefault="00A1B2C3">
            <w:r w:rsidRPr="00C4D5E6">
              <w:rPr>
                <w:rFonts w:ascii="Times New Roman" w:hAnsi="Times New Roman" w:eastAsia="宋体"/>
                <w:sz w:val="24"/>
                <w:szCs w:val="24"/>
              </w:rPr>
              <w:t xml:space="preserve">Koh et al. ([19])</w:t>
            </w:r>
          </w:p>
        </w:tc>
        <w:tc>
          <w:tcPr>
            <w:tcW w:w="1800" w:type="dxa"/>
          </w:tcPr>
          <w:p w14:paraId="1A2B3D21" w14:textId="77777777" w:rsidR="00A1B2C3" w:rsidRDefault="00A1B2C3">
            <w:r w:rsidRPr="00C4D5E6">
              <w:rPr>
                <w:rFonts w:ascii="Times New Roman" w:hAnsi="Times New Roman" w:eastAsia="宋体"/>
                <w:sz w:val="24"/>
                <w:szCs w:val="24"/>
              </w:rPr>
              <w:t xml:space="preserve">0.894</w:t>
            </w:r>
          </w:p>
        </w:tc>
        <w:tc>
          <w:tcPr>
            <w:tcW w:w="1800" w:type="dxa"/>
          </w:tcPr>
          <w:p w14:paraId="1A2B3D22" w14:textId="77777777" w:rsidR="00A1B2C3" w:rsidRDefault="00A1B2C3">
            <w:r w:rsidRPr="00C4D5E6">
              <w:rPr>
                <w:rFonts w:ascii="Times New Roman" w:hAnsi="Times New Roman" w:eastAsia="宋体"/>
                <w:sz w:val="24"/>
                <w:szCs w:val="24"/>
              </w:rPr>
              <w:t xml:space="preserve">0.777</w:t>
            </w:r>
          </w:p>
        </w:tc>
        <w:tc>
          <w:tcPr>
            <w:tcW w:w="1800" w:type="dxa"/>
          </w:tcPr>
          <w:p w14:paraId="1A2B3D23" w14:textId="77777777" w:rsidR="00A1B2C3" w:rsidRDefault="00A1B2C3">
            <w:r w:rsidRPr="00C4D5E6">
              <w:rPr>
                <w:rFonts w:ascii="Times New Roman" w:hAnsi="Times New Roman" w:eastAsia="宋体"/>
                <w:sz w:val="24"/>
                <w:szCs w:val="24"/>
              </w:rPr>
              <w:t xml:space="preserve">1.028</w:t>
            </w:r>
          </w:p>
        </w:tc>
      </w:tr>
      <w:tr>
        <w:tc>
          <w:tcPr>
            <w:tcW w:w="1800" w:type="dxa"/>
          </w:tcPr>
          <w:p w14:paraId="1A2B3D24" w14:textId="77777777" w:rsidR="00A1B2C3" w:rsidRDefault="00A1B2C3"/>
        </w:tc>
        <w:tc>
          <w:tcPr>
            <w:tcW w:w="1800" w:type="dxa"/>
          </w:tcPr>
          <w:p w14:paraId="1A2B3D25" w14:textId="77777777" w:rsidR="00A1B2C3" w:rsidRDefault="00A1B2C3">
            <w:r w:rsidRPr="00C4D5E6">
              <w:rPr>
                <w:rFonts w:ascii="Times New Roman" w:hAnsi="Times New Roman" w:eastAsia="宋体"/>
                <w:sz w:val="24"/>
                <w:szCs w:val="24"/>
              </w:rPr>
              <w:t xml:space="preserve">Combined</w:t>
            </w:r>
          </w:p>
        </w:tc>
        <w:tc>
          <w:tcPr>
            <w:tcW w:w="1800" w:type="dxa"/>
          </w:tcPr>
          <w:p w14:paraId="1A2B3D26" w14:textId="77777777" w:rsidR="00A1B2C3" w:rsidRDefault="00A1B2C3">
            <w:r w:rsidRPr="00C4D5E6">
              <w:rPr>
                <w:rFonts w:ascii="Times New Roman" w:hAnsi="Times New Roman" w:eastAsia="宋体"/>
                <w:sz w:val="24"/>
                <w:szCs w:val="24"/>
              </w:rPr>
              <w:t xml:space="preserve">0.888</w:t>
            </w:r>
          </w:p>
        </w:tc>
        <w:tc>
          <w:tcPr>
            <w:tcW w:w="1800" w:type="dxa"/>
          </w:tcPr>
          <w:p w14:paraId="1A2B3D27" w14:textId="77777777" w:rsidR="00A1B2C3" w:rsidRDefault="00A1B2C3">
            <w:r w:rsidRPr="00C4D5E6">
              <w:rPr>
                <w:rFonts w:ascii="Times New Roman" w:hAnsi="Times New Roman" w:eastAsia="宋体"/>
                <w:sz w:val="24"/>
                <w:szCs w:val="24"/>
              </w:rPr>
              <w:t xml:space="preserve">0.779</w:t>
            </w:r>
          </w:p>
        </w:tc>
        <w:tc>
          <w:tcPr>
            <w:tcW w:w="1800" w:type="dxa"/>
          </w:tcPr>
          <w:p w14:paraId="1A2B3D28" w14:textId="77777777" w:rsidR="00A1B2C3" w:rsidRDefault="00A1B2C3">
            <w:r w:rsidRPr="00C4D5E6">
              <w:rPr>
                <w:rFonts w:ascii="Times New Roman" w:hAnsi="Times New Roman" w:eastAsia="宋体"/>
                <w:sz w:val="24"/>
                <w:szCs w:val="24"/>
              </w:rPr>
              <w:t xml:space="preserve">1.011</w:t>
            </w:r>
          </w:p>
        </w:tc>
      </w:tr>
      <w:tr>
        <w:tc>
          <w:tcPr>
            <w:tcW w:w="1800" w:type="dxa"/>
          </w:tcPr>
          <w:p w14:paraId="1A2B3D29"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2A" w14:textId="77777777" w:rsidR="00A1B2C3" w:rsidRDefault="00A1B2C3">
            <w:r w:rsidRPr="00C4D5E6">
              <w:rPr>
                <w:rFonts w:ascii="Times New Roman" w:hAnsi="Times New Roman" w:eastAsia="宋体"/>
                <w:sz w:val="24"/>
                <w:szCs w:val="24"/>
              </w:rPr>
              <w:t xml:space="preserve">Wu et al. ([15])</w:t>
            </w:r>
          </w:p>
        </w:tc>
        <w:tc>
          <w:tcPr>
            <w:tcW w:w="1800" w:type="dxa"/>
          </w:tcPr>
          <w:p w14:paraId="1A2B3D2B" w14:textId="77777777" w:rsidR="00A1B2C3" w:rsidRDefault="00A1B2C3">
            <w:r w:rsidRPr="00C4D5E6">
              <w:rPr>
                <w:rFonts w:ascii="Times New Roman" w:hAnsi="Times New Roman" w:eastAsia="宋体"/>
                <w:sz w:val="24"/>
                <w:szCs w:val="24"/>
              </w:rPr>
              <w:t xml:space="preserve">0.907</w:t>
            </w:r>
          </w:p>
        </w:tc>
        <w:tc>
          <w:tcPr>
            <w:tcW w:w="1800" w:type="dxa"/>
          </w:tcPr>
          <w:p w14:paraId="1A2B3D2C" w14:textId="77777777" w:rsidR="00A1B2C3" w:rsidRDefault="00A1B2C3">
            <w:r w:rsidRPr="00C4D5E6">
              <w:rPr>
                <w:rFonts w:ascii="Times New Roman" w:hAnsi="Times New Roman" w:eastAsia="宋体"/>
                <w:sz w:val="24"/>
                <w:szCs w:val="24"/>
              </w:rPr>
              <w:t xml:space="preserve">0.825</w:t>
            </w:r>
          </w:p>
        </w:tc>
        <w:tc>
          <w:tcPr>
            <w:tcW w:w="1800" w:type="dxa"/>
          </w:tcPr>
          <w:p w14:paraId="1A2B3D2D" w14:textId="77777777" w:rsidR="00A1B2C3" w:rsidRDefault="00A1B2C3">
            <w:r w:rsidRPr="00C4D5E6">
              <w:rPr>
                <w:rFonts w:ascii="Times New Roman" w:hAnsi="Times New Roman" w:eastAsia="宋体"/>
                <w:sz w:val="24"/>
                <w:szCs w:val="24"/>
              </w:rPr>
              <w:t xml:space="preserve">0.998</w:t>
            </w:r>
          </w:p>
        </w:tc>
      </w:tr>
      <w:tr>
        <w:tc>
          <w:tcPr>
            <w:tcW w:w="1800" w:type="dxa"/>
          </w:tcPr>
          <w:p w14:paraId="1A2B3D2E" w14:textId="77777777" w:rsidR="00A1B2C3" w:rsidRDefault="00A1B2C3"/>
        </w:tc>
        <w:tc>
          <w:tcPr>
            <w:tcW w:w="1800" w:type="dxa"/>
          </w:tcPr>
          <w:p w14:paraId="1A2B3D2F" w14:textId="77777777" w:rsidR="00A1B2C3" w:rsidRDefault="00A1B2C3">
            <w:r w:rsidRPr="00C4D5E6">
              <w:rPr>
                <w:rFonts w:ascii="Times New Roman" w:hAnsi="Times New Roman" w:eastAsia="宋体"/>
                <w:sz w:val="24"/>
                <w:szCs w:val="24"/>
              </w:rPr>
              <w:t xml:space="preserve">Chen et al. ([16])</w:t>
            </w:r>
          </w:p>
        </w:tc>
        <w:tc>
          <w:tcPr>
            <w:tcW w:w="1800" w:type="dxa"/>
          </w:tcPr>
          <w:p w14:paraId="1A2B3D30" w14:textId="77777777" w:rsidR="00A1B2C3" w:rsidRDefault="00A1B2C3">
            <w:r w:rsidRPr="00C4D5E6">
              <w:rPr>
                <w:rFonts w:ascii="Times New Roman" w:hAnsi="Times New Roman" w:eastAsia="宋体"/>
                <w:sz w:val="24"/>
                <w:szCs w:val="24"/>
              </w:rPr>
              <w:t xml:space="preserve">0.873</w:t>
            </w:r>
          </w:p>
        </w:tc>
        <w:tc>
          <w:tcPr>
            <w:tcW w:w="1800" w:type="dxa"/>
          </w:tcPr>
          <w:p w14:paraId="1A2B3D31" w14:textId="77777777" w:rsidR="00A1B2C3" w:rsidRDefault="00A1B2C3">
            <w:r w:rsidRPr="00C4D5E6">
              <w:rPr>
                <w:rFonts w:ascii="Times New Roman" w:hAnsi="Times New Roman" w:eastAsia="宋体"/>
                <w:sz w:val="24"/>
                <w:szCs w:val="24"/>
              </w:rPr>
              <w:t xml:space="preserve">0.793</w:t>
            </w:r>
          </w:p>
        </w:tc>
        <w:tc>
          <w:tcPr>
            <w:tcW w:w="1800" w:type="dxa"/>
          </w:tcPr>
          <w:p w14:paraId="1A2B3D32" w14:textId="77777777" w:rsidR="00A1B2C3" w:rsidRDefault="00A1B2C3">
            <w:r w:rsidRPr="00C4D5E6">
              <w:rPr>
                <w:rFonts w:ascii="Times New Roman" w:hAnsi="Times New Roman" w:eastAsia="宋体"/>
                <w:sz w:val="24"/>
                <w:szCs w:val="24"/>
              </w:rPr>
              <w:t xml:space="preserve">0.961</w:t>
            </w:r>
          </w:p>
        </w:tc>
      </w:tr>
      <w:tr>
        <w:tc>
          <w:tcPr>
            <w:tcW w:w="1800" w:type="dxa"/>
          </w:tcPr>
          <w:p w14:paraId="1A2B3D33" w14:textId="77777777" w:rsidR="00A1B2C3" w:rsidRDefault="00A1B2C3"/>
        </w:tc>
        <w:tc>
          <w:tcPr>
            <w:tcW w:w="1800" w:type="dxa"/>
          </w:tcPr>
          <w:p w14:paraId="1A2B3D34" w14:textId="77777777" w:rsidR="00A1B2C3" w:rsidRDefault="00A1B2C3">
            <w:r w:rsidRPr="00C4D5E6">
              <w:rPr>
                <w:rFonts w:ascii="Times New Roman" w:hAnsi="Times New Roman" w:eastAsia="宋体"/>
                <w:sz w:val="24"/>
                <w:szCs w:val="24"/>
              </w:rPr>
              <w:t xml:space="preserve">Chen et al. ([17])</w:t>
            </w:r>
          </w:p>
        </w:tc>
        <w:tc>
          <w:tcPr>
            <w:tcW w:w="1800" w:type="dxa"/>
          </w:tcPr>
          <w:p w14:paraId="1A2B3D35" w14:textId="77777777" w:rsidR="00A1B2C3" w:rsidRDefault="00A1B2C3">
            <w:r w:rsidRPr="00C4D5E6">
              <w:rPr>
                <w:rFonts w:ascii="Times New Roman" w:hAnsi="Times New Roman" w:eastAsia="宋体"/>
                <w:sz w:val="24"/>
                <w:szCs w:val="24"/>
              </w:rPr>
              <w:t xml:space="preserve">0.915</w:t>
            </w:r>
          </w:p>
        </w:tc>
        <w:tc>
          <w:tcPr>
            <w:tcW w:w="1800" w:type="dxa"/>
          </w:tcPr>
          <w:p w14:paraId="1A2B3D36" w14:textId="77777777" w:rsidR="00A1B2C3" w:rsidRDefault="00A1B2C3">
            <w:r w:rsidRPr="00C4D5E6">
              <w:rPr>
                <w:rFonts w:ascii="Times New Roman" w:hAnsi="Times New Roman" w:eastAsia="宋体"/>
                <w:sz w:val="24"/>
                <w:szCs w:val="24"/>
              </w:rPr>
              <w:t xml:space="preserve">0.831</w:t>
            </w:r>
          </w:p>
        </w:tc>
        <w:tc>
          <w:tcPr>
            <w:tcW w:w="1800" w:type="dxa"/>
          </w:tcPr>
          <w:p w14:paraId="1A2B3D37" w14:textId="77777777" w:rsidR="00A1B2C3" w:rsidRDefault="00A1B2C3">
            <w:r w:rsidRPr="00C4D5E6">
              <w:rPr>
                <w:rFonts w:ascii="Times New Roman" w:hAnsi="Times New Roman" w:eastAsia="宋体"/>
                <w:sz w:val="24"/>
                <w:szCs w:val="24"/>
              </w:rPr>
              <w:t xml:space="preserve">1.007</w:t>
            </w:r>
          </w:p>
        </w:tc>
      </w:tr>
      <w:tr>
        <w:tc>
          <w:tcPr>
            <w:tcW w:w="1800" w:type="dxa"/>
          </w:tcPr>
          <w:p w14:paraId="1A2B3D38" w14:textId="77777777" w:rsidR="00A1B2C3" w:rsidRDefault="00A1B2C3"/>
        </w:tc>
        <w:tc>
          <w:tcPr>
            <w:tcW w:w="1800" w:type="dxa"/>
          </w:tcPr>
          <w:p w14:paraId="1A2B3D39" w14:textId="77777777" w:rsidR="00A1B2C3" w:rsidRDefault="00A1B2C3">
            <w:r w:rsidRPr="00C4D5E6">
              <w:rPr>
                <w:rFonts w:ascii="Times New Roman" w:hAnsi="Times New Roman" w:eastAsia="宋体"/>
                <w:sz w:val="24"/>
                <w:szCs w:val="24"/>
              </w:rPr>
              <w:t xml:space="preserve">Chen et al. ([18])</w:t>
            </w:r>
          </w:p>
        </w:tc>
        <w:tc>
          <w:tcPr>
            <w:tcW w:w="1800" w:type="dxa"/>
          </w:tcPr>
          <w:p w14:paraId="1A2B3D3A" w14:textId="77777777" w:rsidR="00A1B2C3" w:rsidRDefault="00A1B2C3">
            <w:r w:rsidRPr="00C4D5E6">
              <w:rPr>
                <w:rFonts w:ascii="Times New Roman" w:hAnsi="Times New Roman" w:eastAsia="宋体"/>
                <w:sz w:val="24"/>
                <w:szCs w:val="24"/>
              </w:rPr>
              <w:t xml:space="preserve">0.923</w:t>
            </w:r>
          </w:p>
        </w:tc>
        <w:tc>
          <w:tcPr>
            <w:tcW w:w="1800" w:type="dxa"/>
          </w:tcPr>
          <w:p w14:paraId="1A2B3D3B" w14:textId="77777777" w:rsidR="00A1B2C3" w:rsidRDefault="00A1B2C3">
            <w:r w:rsidRPr="00C4D5E6">
              <w:rPr>
                <w:rFonts w:ascii="Times New Roman" w:hAnsi="Times New Roman" w:eastAsia="宋体"/>
                <w:sz w:val="24"/>
                <w:szCs w:val="24"/>
              </w:rPr>
              <w:t xml:space="preserve">0.843</w:t>
            </w:r>
          </w:p>
        </w:tc>
        <w:tc>
          <w:tcPr>
            <w:tcW w:w="1800" w:type="dxa"/>
          </w:tcPr>
          <w:p w14:paraId="1A2B3D3C" w14:textId="77777777" w:rsidR="00A1B2C3" w:rsidRDefault="00A1B2C3">
            <w:r w:rsidRPr="00C4D5E6">
              <w:rPr>
                <w:rFonts w:ascii="Times New Roman" w:hAnsi="Times New Roman" w:eastAsia="宋体"/>
                <w:sz w:val="24"/>
                <w:szCs w:val="24"/>
              </w:rPr>
              <w:t xml:space="preserve">1.009</w:t>
            </w:r>
          </w:p>
        </w:tc>
      </w:tr>
      <w:tr>
        <w:tc>
          <w:tcPr>
            <w:tcW w:w="1800" w:type="dxa"/>
          </w:tcPr>
          <w:p w14:paraId="1A2B3D3D" w14:textId="77777777" w:rsidR="00A1B2C3" w:rsidRDefault="00A1B2C3"/>
        </w:tc>
        <w:tc>
          <w:tcPr>
            <w:tcW w:w="1800" w:type="dxa"/>
          </w:tcPr>
          <w:p w14:paraId="1A2B3D3E" w14:textId="77777777" w:rsidR="00A1B2C3" w:rsidRDefault="00A1B2C3">
            <w:r w:rsidRPr="00C4D5E6">
              <w:rPr>
                <w:rFonts w:ascii="Times New Roman" w:hAnsi="Times New Roman" w:eastAsia="宋体"/>
                <w:sz w:val="24"/>
                <w:szCs w:val="24"/>
              </w:rPr>
              <w:t xml:space="preserve">Koh et al. ([19])</w:t>
            </w:r>
          </w:p>
        </w:tc>
        <w:tc>
          <w:tcPr>
            <w:tcW w:w="1800" w:type="dxa"/>
          </w:tcPr>
          <w:p w14:paraId="1A2B3D3F" w14:textId="77777777" w:rsidR="00A1B2C3" w:rsidRDefault="00A1B2C3">
            <w:r w:rsidRPr="00C4D5E6">
              <w:rPr>
                <w:rFonts w:ascii="Times New Roman" w:hAnsi="Times New Roman" w:eastAsia="宋体"/>
                <w:sz w:val="24"/>
                <w:szCs w:val="24"/>
              </w:rPr>
              <w:t xml:space="preserve">0.918</w:t>
            </w:r>
          </w:p>
        </w:tc>
        <w:tc>
          <w:tcPr>
            <w:tcW w:w="1800" w:type="dxa"/>
          </w:tcPr>
          <w:p w14:paraId="1A2B3D40" w14:textId="77777777" w:rsidR="00A1B2C3" w:rsidRDefault="00A1B2C3">
            <w:r w:rsidRPr="00C4D5E6">
              <w:rPr>
                <w:rFonts w:ascii="Times New Roman" w:hAnsi="Times New Roman" w:eastAsia="宋体"/>
                <w:sz w:val="24"/>
                <w:szCs w:val="24"/>
              </w:rPr>
              <w:t xml:space="preserve">0.840</w:t>
            </w:r>
          </w:p>
        </w:tc>
        <w:tc>
          <w:tcPr>
            <w:tcW w:w="1800" w:type="dxa"/>
          </w:tcPr>
          <w:p w14:paraId="1A2B3D41" w14:textId="77777777" w:rsidR="00A1B2C3" w:rsidRDefault="00A1B2C3">
            <w:r w:rsidRPr="00C4D5E6">
              <w:rPr>
                <w:rFonts w:ascii="Times New Roman" w:hAnsi="Times New Roman" w:eastAsia="宋体"/>
                <w:sz w:val="24"/>
                <w:szCs w:val="24"/>
              </w:rPr>
              <w:t xml:space="preserve">1.003</w:t>
            </w:r>
          </w:p>
        </w:tc>
      </w:tr>
      <w:tr>
        <w:tc>
          <w:tcPr>
            <w:tcW w:w="1800" w:type="dxa"/>
          </w:tcPr>
          <w:p w14:paraId="1A2B3D42" w14:textId="77777777" w:rsidR="00A1B2C3" w:rsidRDefault="00A1B2C3"/>
        </w:tc>
        <w:tc>
          <w:tcPr>
            <w:tcW w:w="1800" w:type="dxa"/>
          </w:tcPr>
          <w:p w14:paraId="1A2B3D43" w14:textId="77777777" w:rsidR="00A1B2C3" w:rsidRDefault="00A1B2C3">
            <w:r w:rsidRPr="00C4D5E6">
              <w:rPr>
                <w:rFonts w:ascii="Times New Roman" w:hAnsi="Times New Roman" w:eastAsia="宋体"/>
                <w:sz w:val="24"/>
                <w:szCs w:val="24"/>
              </w:rPr>
              <w:t xml:space="preserve">Zhang et al. ([20])</w:t>
            </w:r>
          </w:p>
        </w:tc>
        <w:tc>
          <w:tcPr>
            <w:tcW w:w="1800" w:type="dxa"/>
          </w:tcPr>
          <w:p w14:paraId="1A2B3D44" w14:textId="77777777" w:rsidR="00A1B2C3" w:rsidRDefault="00A1B2C3">
            <w:r w:rsidRPr="00C4D5E6">
              <w:rPr>
                <w:rFonts w:ascii="Times New Roman" w:hAnsi="Times New Roman" w:eastAsia="宋体"/>
                <w:sz w:val="24"/>
                <w:szCs w:val="24"/>
              </w:rPr>
              <w:t xml:space="preserve">0.941</w:t>
            </w:r>
          </w:p>
        </w:tc>
        <w:tc>
          <w:tcPr>
            <w:tcW w:w="1800" w:type="dxa"/>
          </w:tcPr>
          <w:p w14:paraId="1A2B3D45" w14:textId="77777777" w:rsidR="00A1B2C3" w:rsidRDefault="00A1B2C3">
            <w:r w:rsidRPr="00C4D5E6">
              <w:rPr>
                <w:rFonts w:ascii="Times New Roman" w:hAnsi="Times New Roman" w:eastAsia="宋体"/>
                <w:sz w:val="24"/>
                <w:szCs w:val="24"/>
              </w:rPr>
              <w:t xml:space="preserve">0.858</w:t>
            </w:r>
          </w:p>
        </w:tc>
        <w:tc>
          <w:tcPr>
            <w:tcW w:w="1800" w:type="dxa"/>
          </w:tcPr>
          <w:p w14:paraId="1A2B3D46" w14:textId="77777777" w:rsidR="00A1B2C3" w:rsidRDefault="00A1B2C3">
            <w:r w:rsidRPr="00C4D5E6">
              <w:rPr>
                <w:rFonts w:ascii="Times New Roman" w:hAnsi="Times New Roman" w:eastAsia="宋体"/>
                <w:sz w:val="24"/>
                <w:szCs w:val="24"/>
              </w:rPr>
              <w:t xml:space="preserve">1.032</w:t>
            </w:r>
          </w:p>
        </w:tc>
      </w:tr>
      <w:tr>
        <w:tc>
          <w:tcPr>
            <w:tcW w:w="1800" w:type="dxa"/>
          </w:tcPr>
          <w:p w14:paraId="1A2B3D47" w14:textId="77777777" w:rsidR="00A1B2C3" w:rsidRDefault="00A1B2C3"/>
        </w:tc>
        <w:tc>
          <w:tcPr>
            <w:tcW w:w="1800" w:type="dxa"/>
          </w:tcPr>
          <w:p w14:paraId="1A2B3D48" w14:textId="77777777" w:rsidR="00A1B2C3" w:rsidRDefault="00A1B2C3">
            <w:r w:rsidRPr="00C4D5E6">
              <w:rPr>
                <w:rFonts w:ascii="Times New Roman" w:hAnsi="Times New Roman" w:eastAsia="宋体"/>
                <w:sz w:val="24"/>
                <w:szCs w:val="24"/>
              </w:rPr>
              <w:t xml:space="preserve">Combined</w:t>
            </w:r>
          </w:p>
        </w:tc>
        <w:tc>
          <w:tcPr>
            <w:tcW w:w="1800" w:type="dxa"/>
          </w:tcPr>
          <w:p w14:paraId="1A2B3D49" w14:textId="77777777" w:rsidR="00A1B2C3" w:rsidRDefault="00A1B2C3">
            <w:r w:rsidRPr="00C4D5E6">
              <w:rPr>
                <w:rFonts w:ascii="Times New Roman" w:hAnsi="Times New Roman" w:eastAsia="宋体"/>
                <w:sz w:val="24"/>
                <w:szCs w:val="24"/>
              </w:rPr>
              <w:t xml:space="preserve">0.914</w:t>
            </w:r>
          </w:p>
        </w:tc>
        <w:tc>
          <w:tcPr>
            <w:tcW w:w="1800" w:type="dxa"/>
          </w:tcPr>
          <w:p w14:paraId="1A2B3D4A" w14:textId="77777777" w:rsidR="00A1B2C3" w:rsidRDefault="00A1B2C3">
            <w:r w:rsidRPr="00C4D5E6">
              <w:rPr>
                <w:rFonts w:ascii="Times New Roman" w:hAnsi="Times New Roman" w:eastAsia="宋体"/>
                <w:sz w:val="24"/>
                <w:szCs w:val="24"/>
              </w:rPr>
              <w:t xml:space="preserve">0.840</w:t>
            </w:r>
          </w:p>
        </w:tc>
        <w:tc>
          <w:tcPr>
            <w:tcW w:w="1800" w:type="dxa"/>
          </w:tcPr>
          <w:p w14:paraId="1A2B3D4B" w14:textId="77777777" w:rsidR="00A1B2C3" w:rsidRDefault="00A1B2C3">
            <w:r w:rsidRPr="00C4D5E6">
              <w:rPr>
                <w:rFonts w:ascii="Times New Roman" w:hAnsi="Times New Roman" w:eastAsia="宋体"/>
                <w:sz w:val="24"/>
                <w:szCs w:val="24"/>
              </w:rPr>
              <w:t xml:space="preserve">0.995</w:t>
            </w:r>
          </w:p>
        </w:tc>
      </w:tr>
      <w:tr>
        <w:tc>
          <w:tcPr>
            <w:tcW w:w="1800" w:type="dxa"/>
          </w:tcPr>
          <w:p w14:paraId="1A2B3D4C"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4D" w14:textId="77777777" w:rsidR="00A1B2C3" w:rsidRDefault="00A1B2C3">
            <w:r w:rsidRPr="00C4D5E6">
              <w:rPr>
                <w:rFonts w:ascii="Times New Roman" w:hAnsi="Times New Roman" w:eastAsia="宋体"/>
                <w:sz w:val="24"/>
                <w:szCs w:val="24"/>
              </w:rPr>
              <w:t xml:space="preserve">Chen et al. ([16])</w:t>
            </w:r>
          </w:p>
        </w:tc>
        <w:tc>
          <w:tcPr>
            <w:tcW w:w="1800" w:type="dxa"/>
          </w:tcPr>
          <w:p w14:paraId="1A2B3D4E" w14:textId="77777777" w:rsidR="00A1B2C3" w:rsidRDefault="00A1B2C3">
            <w:r w:rsidRPr="00C4D5E6">
              <w:rPr>
                <w:rFonts w:ascii="Times New Roman" w:hAnsi="Times New Roman" w:eastAsia="宋体"/>
                <w:sz w:val="24"/>
                <w:szCs w:val="24"/>
              </w:rPr>
              <w:t xml:space="preserve">0.902</w:t>
            </w:r>
          </w:p>
        </w:tc>
        <w:tc>
          <w:tcPr>
            <w:tcW w:w="1800" w:type="dxa"/>
          </w:tcPr>
          <w:p w14:paraId="1A2B3D4F" w14:textId="77777777" w:rsidR="00A1B2C3" w:rsidRDefault="00A1B2C3">
            <w:r w:rsidRPr="00C4D5E6">
              <w:rPr>
                <w:rFonts w:ascii="Times New Roman" w:hAnsi="Times New Roman" w:eastAsia="宋体"/>
                <w:sz w:val="24"/>
                <w:szCs w:val="24"/>
              </w:rPr>
              <w:t xml:space="preserve">0.810</w:t>
            </w:r>
          </w:p>
        </w:tc>
        <w:tc>
          <w:tcPr>
            <w:tcW w:w="1800" w:type="dxa"/>
          </w:tcPr>
          <w:p w14:paraId="1A2B3D50" w14:textId="77777777" w:rsidR="00A1B2C3" w:rsidRDefault="00A1B2C3">
            <w:r w:rsidRPr="00C4D5E6">
              <w:rPr>
                <w:rFonts w:ascii="Times New Roman" w:hAnsi="Times New Roman" w:eastAsia="宋体"/>
                <w:sz w:val="24"/>
                <w:szCs w:val="24"/>
              </w:rPr>
              <w:t xml:space="preserve">1.004</w:t>
            </w:r>
          </w:p>
        </w:tc>
      </w:tr>
      <w:tr>
        <w:tc>
          <w:tcPr>
            <w:tcW w:w="1800" w:type="dxa"/>
          </w:tcPr>
          <w:p w14:paraId="1A2B3D51" w14:textId="77777777" w:rsidR="00A1B2C3" w:rsidRDefault="00A1B2C3"/>
        </w:tc>
        <w:tc>
          <w:tcPr>
            <w:tcW w:w="1800" w:type="dxa"/>
          </w:tcPr>
          <w:p w14:paraId="1A2B3D52" w14:textId="77777777" w:rsidR="00A1B2C3" w:rsidRDefault="00A1B2C3">
            <w:r w:rsidRPr="00C4D5E6">
              <w:rPr>
                <w:rFonts w:ascii="Times New Roman" w:hAnsi="Times New Roman" w:eastAsia="宋体"/>
                <w:sz w:val="24"/>
                <w:szCs w:val="24"/>
              </w:rPr>
              <w:t xml:space="preserve">Chen et al. ([17])</w:t>
            </w:r>
          </w:p>
        </w:tc>
        <w:tc>
          <w:tcPr>
            <w:tcW w:w="1800" w:type="dxa"/>
          </w:tcPr>
          <w:p w14:paraId="1A2B3D53" w14:textId="77777777" w:rsidR="00A1B2C3" w:rsidRDefault="00A1B2C3">
            <w:r w:rsidRPr="00C4D5E6">
              <w:rPr>
                <w:rFonts w:ascii="Times New Roman" w:hAnsi="Times New Roman" w:eastAsia="宋体"/>
                <w:sz w:val="24"/>
                <w:szCs w:val="24"/>
              </w:rPr>
              <w:t xml:space="preserve">0.971</w:t>
            </w:r>
          </w:p>
        </w:tc>
        <w:tc>
          <w:tcPr>
            <w:tcW w:w="1800" w:type="dxa"/>
          </w:tcPr>
          <w:p w14:paraId="1A2B3D54" w14:textId="77777777" w:rsidR="00A1B2C3" w:rsidRDefault="00A1B2C3">
            <w:r w:rsidRPr="00C4D5E6">
              <w:rPr>
                <w:rFonts w:ascii="Times New Roman" w:hAnsi="Times New Roman" w:eastAsia="宋体"/>
                <w:sz w:val="24"/>
                <w:szCs w:val="24"/>
              </w:rPr>
              <w:t xml:space="preserve">0.893</w:t>
            </w:r>
          </w:p>
        </w:tc>
        <w:tc>
          <w:tcPr>
            <w:tcW w:w="1800" w:type="dxa"/>
          </w:tcPr>
          <w:p w14:paraId="1A2B3D55" w14:textId="77777777" w:rsidR="00A1B2C3" w:rsidRDefault="00A1B2C3">
            <w:r w:rsidRPr="00C4D5E6">
              <w:rPr>
                <w:rFonts w:ascii="Times New Roman" w:hAnsi="Times New Roman" w:eastAsia="宋体"/>
                <w:sz w:val="24"/>
                <w:szCs w:val="24"/>
              </w:rPr>
              <w:t xml:space="preserve">1.056</w:t>
            </w:r>
          </w:p>
        </w:tc>
      </w:tr>
      <w:tr>
        <w:tc>
          <w:tcPr>
            <w:tcW w:w="1800" w:type="dxa"/>
          </w:tcPr>
          <w:p w14:paraId="1A2B3D56" w14:textId="77777777" w:rsidR="00A1B2C3" w:rsidRDefault="00A1B2C3"/>
        </w:tc>
        <w:tc>
          <w:tcPr>
            <w:tcW w:w="1800" w:type="dxa"/>
          </w:tcPr>
          <w:p w14:paraId="1A2B3D57" w14:textId="77777777" w:rsidR="00A1B2C3" w:rsidRDefault="00A1B2C3">
            <w:r w:rsidRPr="00C4D5E6">
              <w:rPr>
                <w:rFonts w:ascii="Times New Roman" w:hAnsi="Times New Roman" w:eastAsia="宋体"/>
                <w:sz w:val="24"/>
                <w:szCs w:val="24"/>
              </w:rPr>
              <w:t xml:space="preserve">Chen et al. ([18])</w:t>
            </w:r>
          </w:p>
        </w:tc>
        <w:tc>
          <w:tcPr>
            <w:tcW w:w="1800" w:type="dxa"/>
          </w:tcPr>
          <w:p w14:paraId="1A2B3D58" w14:textId="77777777" w:rsidR="00A1B2C3" w:rsidRDefault="00A1B2C3">
            <w:r w:rsidRPr="00C4D5E6">
              <w:rPr>
                <w:rFonts w:ascii="Times New Roman" w:hAnsi="Times New Roman" w:eastAsia="宋体"/>
                <w:sz w:val="24"/>
                <w:szCs w:val="24"/>
              </w:rPr>
              <w:t xml:space="preserve">0.994</w:t>
            </w:r>
          </w:p>
        </w:tc>
        <w:tc>
          <w:tcPr>
            <w:tcW w:w="1800" w:type="dxa"/>
          </w:tcPr>
          <w:p w14:paraId="1A2B3D59" w14:textId="77777777" w:rsidR="00A1B2C3" w:rsidRDefault="00A1B2C3">
            <w:r w:rsidRPr="00C4D5E6">
              <w:rPr>
                <w:rFonts w:ascii="Times New Roman" w:hAnsi="Times New Roman" w:eastAsia="宋体"/>
                <w:sz w:val="24"/>
                <w:szCs w:val="24"/>
              </w:rPr>
              <w:t xml:space="preserve">0.912</w:t>
            </w:r>
          </w:p>
        </w:tc>
        <w:tc>
          <w:tcPr>
            <w:tcW w:w="1800" w:type="dxa"/>
          </w:tcPr>
          <w:p w14:paraId="1A2B3D5A" w14:textId="77777777" w:rsidR="00A1B2C3" w:rsidRDefault="00A1B2C3">
            <w:r w:rsidRPr="00C4D5E6">
              <w:rPr>
                <w:rFonts w:ascii="Times New Roman" w:hAnsi="Times New Roman" w:eastAsia="宋体"/>
                <w:sz w:val="24"/>
                <w:szCs w:val="24"/>
              </w:rPr>
              <w:t xml:space="preserve">1.078</w:t>
            </w:r>
          </w:p>
        </w:tc>
      </w:tr>
      <w:tr>
        <w:tc>
          <w:tcPr>
            <w:tcW w:w="1800" w:type="dxa"/>
          </w:tcPr>
          <w:p w14:paraId="1A2B3D5B" w14:textId="77777777" w:rsidR="00A1B2C3" w:rsidRDefault="00A1B2C3"/>
        </w:tc>
        <w:tc>
          <w:tcPr>
            <w:tcW w:w="1800" w:type="dxa"/>
          </w:tcPr>
          <w:p w14:paraId="1A2B3D5C" w14:textId="77777777" w:rsidR="00A1B2C3" w:rsidRDefault="00A1B2C3">
            <w:r w:rsidRPr="00C4D5E6">
              <w:rPr>
                <w:rFonts w:ascii="Times New Roman" w:hAnsi="Times New Roman" w:eastAsia="宋体"/>
                <w:sz w:val="24"/>
                <w:szCs w:val="24"/>
              </w:rPr>
              <w:t xml:space="preserve">Zhang et al. ([20])</w:t>
            </w:r>
          </w:p>
        </w:tc>
        <w:tc>
          <w:tcPr>
            <w:tcW w:w="1800" w:type="dxa"/>
          </w:tcPr>
          <w:p w14:paraId="1A2B3D5D" w14:textId="77777777" w:rsidR="00A1B2C3" w:rsidRDefault="00A1B2C3">
            <w:r w:rsidRPr="00C4D5E6">
              <w:rPr>
                <w:rFonts w:ascii="Times New Roman" w:hAnsi="Times New Roman" w:eastAsia="宋体"/>
                <w:sz w:val="24"/>
                <w:szCs w:val="24"/>
              </w:rPr>
              <w:t xml:space="preserve">1.017</w:t>
            </w:r>
          </w:p>
        </w:tc>
        <w:tc>
          <w:tcPr>
            <w:tcW w:w="1800" w:type="dxa"/>
          </w:tcPr>
          <w:p w14:paraId="1A2B3D5E" w14:textId="77777777" w:rsidR="00A1B2C3" w:rsidRDefault="00A1B2C3">
            <w:r w:rsidRPr="00C4D5E6">
              <w:rPr>
                <w:rFonts w:ascii="Times New Roman" w:hAnsi="Times New Roman" w:eastAsia="宋体"/>
                <w:sz w:val="24"/>
                <w:szCs w:val="24"/>
              </w:rPr>
              <w:t xml:space="preserve">0.935</w:t>
            </w:r>
          </w:p>
        </w:tc>
        <w:tc>
          <w:tcPr>
            <w:tcW w:w="1800" w:type="dxa"/>
          </w:tcPr>
          <w:p w14:paraId="1A2B3D5F" w14:textId="77777777" w:rsidR="00A1B2C3" w:rsidRDefault="00A1B2C3">
            <w:r w:rsidRPr="00C4D5E6">
              <w:rPr>
                <w:rFonts w:ascii="Times New Roman" w:hAnsi="Times New Roman" w:eastAsia="宋体"/>
                <w:sz w:val="24"/>
                <w:szCs w:val="24"/>
              </w:rPr>
              <w:t xml:space="preserve">1.106</w:t>
            </w:r>
          </w:p>
        </w:tc>
      </w:tr>
      <w:tr>
        <w:tc>
          <w:tcPr>
            <w:tcW w:w="1800" w:type="dxa"/>
          </w:tcPr>
          <w:p w14:paraId="1A2B3D60" w14:textId="77777777" w:rsidR="00A1B2C3" w:rsidRDefault="00A1B2C3"/>
        </w:tc>
        <w:tc>
          <w:tcPr>
            <w:tcW w:w="1800" w:type="dxa"/>
          </w:tcPr>
          <w:p w14:paraId="1A2B3D61" w14:textId="77777777" w:rsidR="00A1B2C3" w:rsidRDefault="00A1B2C3">
            <w:r w:rsidRPr="00C4D5E6">
              <w:rPr>
                <w:rFonts w:ascii="Times New Roman" w:hAnsi="Times New Roman" w:eastAsia="宋体"/>
                <w:sz w:val="24"/>
                <w:szCs w:val="24"/>
              </w:rPr>
              <w:t xml:space="preserve">Combined</w:t>
            </w:r>
          </w:p>
        </w:tc>
        <w:tc>
          <w:tcPr>
            <w:tcW w:w="1800" w:type="dxa"/>
          </w:tcPr>
          <w:p w14:paraId="1A2B3D62" w14:textId="77777777" w:rsidR="00A1B2C3" w:rsidRDefault="00A1B2C3">
            <w:r w:rsidRPr="00C4D5E6">
              <w:rPr>
                <w:rFonts w:ascii="Times New Roman" w:hAnsi="Times New Roman" w:eastAsia="宋体"/>
                <w:sz w:val="24"/>
                <w:szCs w:val="24"/>
              </w:rPr>
              <w:t xml:space="preserve">0.977</w:t>
            </w:r>
          </w:p>
        </w:tc>
        <w:tc>
          <w:tcPr>
            <w:tcW w:w="1800" w:type="dxa"/>
          </w:tcPr>
          <w:p w14:paraId="1A2B3D63" w14:textId="77777777" w:rsidR="00A1B2C3" w:rsidRDefault="00A1B2C3">
            <w:r w:rsidRPr="00C4D5E6">
              <w:rPr>
                <w:rFonts w:ascii="Times New Roman" w:hAnsi="Times New Roman" w:eastAsia="宋体"/>
                <w:sz w:val="24"/>
                <w:szCs w:val="24"/>
              </w:rPr>
              <w:t xml:space="preserve">0.906</w:t>
            </w:r>
          </w:p>
        </w:tc>
        <w:tc>
          <w:tcPr>
            <w:tcW w:w="1800" w:type="dxa"/>
          </w:tcPr>
          <w:p w14:paraId="1A2B3D64" w14:textId="77777777" w:rsidR="00A1B2C3" w:rsidRDefault="00A1B2C3">
            <w:r w:rsidRPr="00C4D5E6">
              <w:rPr>
                <w:rFonts w:ascii="Times New Roman" w:hAnsi="Times New Roman" w:eastAsia="宋体"/>
                <w:sz w:val="24"/>
                <w:szCs w:val="24"/>
              </w:rPr>
              <w:t xml:space="preserve">1.054</w:t>
            </w:r>
          </w:p>
        </w:tc>
      </w:tr>
      <w:tr>
        <w:tc>
          <w:tcPr>
            <w:tcW w:w="1800" w:type="dxa"/>
          </w:tcPr>
          <w:p w14:paraId="1A2B3D65" w14:textId="77777777" w:rsidR="00A1B2C3" w:rsidRDefault="00A1B2C3">
            <w:r w:rsidRPr="00C4D5E6">
              <w:rPr>
                <w:rFonts w:ascii="Times New Roman" w:hAnsi="Times New Roman" w:eastAsia="宋体"/>
                <w:sz w:val="24"/>
                <w:szCs w:val="24"/>
              </w:rPr>
              <w:t xml:space="preserve">LRR</w:t>
            </w:r>
          </w:p>
        </w:tc>
        <w:tc>
          <w:tcPr>
            <w:tcW w:w="1800" w:type="dxa"/>
          </w:tcPr>
          <w:p w14:paraId="1A2B3D66" w14:textId="77777777" w:rsidR="00A1B2C3" w:rsidRDefault="00A1B2C3">
            <w:r w:rsidRPr="00C4D5E6">
              <w:rPr>
                <w:rFonts w:ascii="Times New Roman" w:hAnsi="Times New Roman" w:eastAsia="宋体"/>
                <w:sz w:val="24"/>
                <w:szCs w:val="24"/>
              </w:rPr>
              <w:t xml:space="preserve">Wu et al. ([15])</w:t>
            </w:r>
          </w:p>
        </w:tc>
        <w:tc>
          <w:tcPr>
            <w:tcW w:w="1800" w:type="dxa"/>
          </w:tcPr>
          <w:p w14:paraId="1A2B3D67" w14:textId="77777777" w:rsidR="00A1B2C3" w:rsidRDefault="00A1B2C3">
            <w:r w:rsidRPr="00C4D5E6">
              <w:rPr>
                <w:rFonts w:ascii="Times New Roman" w:hAnsi="Times New Roman" w:eastAsia="宋体"/>
                <w:sz w:val="24"/>
                <w:szCs w:val="24"/>
              </w:rPr>
              <w:t xml:space="preserve">0.965</w:t>
            </w:r>
          </w:p>
        </w:tc>
        <w:tc>
          <w:tcPr>
            <w:tcW w:w="1800" w:type="dxa"/>
          </w:tcPr>
          <w:p w14:paraId="1A2B3D68" w14:textId="77777777" w:rsidR="00A1B2C3" w:rsidRDefault="00A1B2C3">
            <w:r w:rsidRPr="00C4D5E6">
              <w:rPr>
                <w:rFonts w:ascii="Times New Roman" w:hAnsi="Times New Roman" w:eastAsia="宋体"/>
                <w:sz w:val="24"/>
                <w:szCs w:val="24"/>
              </w:rPr>
              <w:t xml:space="preserve">0.717</w:t>
            </w:r>
          </w:p>
        </w:tc>
        <w:tc>
          <w:tcPr>
            <w:tcW w:w="1800" w:type="dxa"/>
          </w:tcPr>
          <w:p w14:paraId="1A2B3D69" w14:textId="77777777" w:rsidR="00A1B2C3" w:rsidRDefault="00A1B2C3">
            <w:r w:rsidRPr="00C4D5E6">
              <w:rPr>
                <w:rFonts w:ascii="Times New Roman" w:hAnsi="Times New Roman" w:eastAsia="宋体"/>
                <w:sz w:val="24"/>
                <w:szCs w:val="24"/>
              </w:rPr>
              <w:t xml:space="preserve">1.299</w:t>
            </w:r>
          </w:p>
        </w:tc>
      </w:tr>
      <w:tr>
        <w:tc>
          <w:tcPr>
            <w:tcW w:w="1800" w:type="dxa"/>
          </w:tcPr>
          <w:p w14:paraId="1A2B3D6A" w14:textId="77777777" w:rsidR="00A1B2C3" w:rsidRDefault="00A1B2C3"/>
        </w:tc>
        <w:tc>
          <w:tcPr>
            <w:tcW w:w="1800" w:type="dxa"/>
          </w:tcPr>
          <w:p w14:paraId="1A2B3D6B" w14:textId="77777777" w:rsidR="00A1B2C3" w:rsidRDefault="00A1B2C3">
            <w:r w:rsidRPr="00C4D5E6">
              <w:rPr>
                <w:rFonts w:ascii="Times New Roman" w:hAnsi="Times New Roman" w:eastAsia="宋体"/>
                <w:sz w:val="24"/>
                <w:szCs w:val="24"/>
              </w:rPr>
              <w:t xml:space="preserve">Chen et al. ([16])</w:t>
            </w:r>
          </w:p>
        </w:tc>
        <w:tc>
          <w:tcPr>
            <w:tcW w:w="1800" w:type="dxa"/>
          </w:tcPr>
          <w:p w14:paraId="1A2B3D6C" w14:textId="77777777" w:rsidR="00A1B2C3" w:rsidRDefault="00A1B2C3">
            <w:r w:rsidRPr="00C4D5E6">
              <w:rPr>
                <w:rFonts w:ascii="Times New Roman" w:hAnsi="Times New Roman" w:eastAsia="宋体"/>
                <w:sz w:val="24"/>
                <w:szCs w:val="24"/>
              </w:rPr>
              <w:t xml:space="preserve">0.660</w:t>
            </w:r>
          </w:p>
        </w:tc>
        <w:tc>
          <w:tcPr>
            <w:tcW w:w="1800" w:type="dxa"/>
          </w:tcPr>
          <w:p w14:paraId="1A2B3D6D" w14:textId="77777777" w:rsidR="00A1B2C3" w:rsidRDefault="00A1B2C3">
            <w:r w:rsidRPr="00C4D5E6">
              <w:rPr>
                <w:rFonts w:ascii="Times New Roman" w:hAnsi="Times New Roman" w:eastAsia="宋体"/>
                <w:sz w:val="24"/>
                <w:szCs w:val="24"/>
              </w:rPr>
              <w:t xml:space="preserve">0.424</w:t>
            </w:r>
          </w:p>
        </w:tc>
        <w:tc>
          <w:tcPr>
            <w:tcW w:w="1800" w:type="dxa"/>
          </w:tcPr>
          <w:p w14:paraId="1A2B3D6E" w14:textId="77777777" w:rsidR="00A1B2C3" w:rsidRDefault="00A1B2C3">
            <w:r w:rsidRPr="00C4D5E6">
              <w:rPr>
                <w:rFonts w:ascii="Times New Roman" w:hAnsi="Times New Roman" w:eastAsia="宋体"/>
                <w:sz w:val="24"/>
                <w:szCs w:val="24"/>
              </w:rPr>
              <w:t xml:space="preserve">1.028</w:t>
            </w:r>
          </w:p>
        </w:tc>
      </w:tr>
      <w:tr>
        <w:tc>
          <w:tcPr>
            <w:tcW w:w="1800" w:type="dxa"/>
          </w:tcPr>
          <w:p w14:paraId="1A2B3D6F" w14:textId="77777777" w:rsidR="00A1B2C3" w:rsidRDefault="00A1B2C3"/>
        </w:tc>
        <w:tc>
          <w:tcPr>
            <w:tcW w:w="1800" w:type="dxa"/>
          </w:tcPr>
          <w:p w14:paraId="1A2B3D70" w14:textId="77777777" w:rsidR="00A1B2C3" w:rsidRDefault="00A1B2C3">
            <w:r w:rsidRPr="00C4D5E6">
              <w:rPr>
                <w:rFonts w:ascii="Times New Roman" w:hAnsi="Times New Roman" w:eastAsia="宋体"/>
                <w:sz w:val="24"/>
                <w:szCs w:val="24"/>
              </w:rPr>
              <w:t xml:space="preserve">Chen et al. ([17])</w:t>
            </w:r>
          </w:p>
        </w:tc>
        <w:tc>
          <w:tcPr>
            <w:tcW w:w="1800" w:type="dxa"/>
          </w:tcPr>
          <w:p w14:paraId="1A2B3D71" w14:textId="77777777" w:rsidR="00A1B2C3" w:rsidRDefault="00A1B2C3">
            <w:r w:rsidRPr="00C4D5E6">
              <w:rPr>
                <w:rFonts w:ascii="Times New Roman" w:hAnsi="Times New Roman" w:eastAsia="宋体"/>
                <w:sz w:val="24"/>
                <w:szCs w:val="24"/>
              </w:rPr>
              <w:t xml:space="preserve">0.965</w:t>
            </w:r>
          </w:p>
        </w:tc>
        <w:tc>
          <w:tcPr>
            <w:tcW w:w="1800" w:type="dxa"/>
          </w:tcPr>
          <w:p w14:paraId="1A2B3D72" w14:textId="77777777" w:rsidR="00A1B2C3" w:rsidRDefault="00A1B2C3">
            <w:r w:rsidRPr="00C4D5E6">
              <w:rPr>
                <w:rFonts w:ascii="Times New Roman" w:hAnsi="Times New Roman" w:eastAsia="宋体"/>
                <w:sz w:val="24"/>
                <w:szCs w:val="24"/>
              </w:rPr>
              <w:t xml:space="preserve">0.712</w:t>
            </w:r>
          </w:p>
        </w:tc>
        <w:tc>
          <w:tcPr>
            <w:tcW w:w="1800" w:type="dxa"/>
          </w:tcPr>
          <w:p w14:paraId="1A2B3D73" w14:textId="77777777" w:rsidR="00A1B2C3" w:rsidRDefault="00A1B2C3">
            <w:r w:rsidRPr="00C4D5E6">
              <w:rPr>
                <w:rFonts w:ascii="Times New Roman" w:hAnsi="Times New Roman" w:eastAsia="宋体"/>
                <w:sz w:val="24"/>
                <w:szCs w:val="24"/>
              </w:rPr>
              <w:t xml:space="preserve">1.306</w:t>
            </w:r>
          </w:p>
        </w:tc>
      </w:tr>
      <w:tr>
        <w:tc>
          <w:tcPr>
            <w:tcW w:w="1800" w:type="dxa"/>
          </w:tcPr>
          <w:p w14:paraId="1A2B3D74" w14:textId="77777777" w:rsidR="00A1B2C3" w:rsidRDefault="00A1B2C3"/>
        </w:tc>
        <w:tc>
          <w:tcPr>
            <w:tcW w:w="1800" w:type="dxa"/>
          </w:tcPr>
          <w:p w14:paraId="1A2B3D75" w14:textId="77777777" w:rsidR="00A1B2C3" w:rsidRDefault="00A1B2C3">
            <w:r w:rsidRPr="00C4D5E6">
              <w:rPr>
                <w:rFonts w:ascii="Times New Roman" w:hAnsi="Times New Roman" w:eastAsia="宋体"/>
                <w:sz w:val="24"/>
                <w:szCs w:val="24"/>
              </w:rPr>
              <w:t xml:space="preserve">Combined</w:t>
            </w:r>
          </w:p>
        </w:tc>
        <w:tc>
          <w:tcPr>
            <w:tcW w:w="1800" w:type="dxa"/>
          </w:tcPr>
          <w:p w14:paraId="1A2B3D76" w14:textId="77777777" w:rsidR="00A1B2C3" w:rsidRDefault="00A1B2C3">
            <w:r w:rsidRPr="00C4D5E6">
              <w:rPr>
                <w:rFonts w:ascii="Times New Roman" w:hAnsi="Times New Roman" w:eastAsia="宋体"/>
                <w:sz w:val="24"/>
                <w:szCs w:val="24"/>
              </w:rPr>
              <w:t xml:space="preserve">0.899</w:t>
            </w:r>
          </w:p>
        </w:tc>
        <w:tc>
          <w:tcPr>
            <w:tcW w:w="1800" w:type="dxa"/>
          </w:tcPr>
          <w:p w14:paraId="1A2B3D77" w14:textId="77777777" w:rsidR="00A1B2C3" w:rsidRDefault="00A1B2C3">
            <w:r w:rsidRPr="00C4D5E6">
              <w:rPr>
                <w:rFonts w:ascii="Times New Roman" w:hAnsi="Times New Roman" w:eastAsia="宋体"/>
                <w:sz w:val="24"/>
                <w:szCs w:val="24"/>
              </w:rPr>
              <w:t xml:space="preserve">0.686</w:t>
            </w:r>
          </w:p>
        </w:tc>
        <w:tc>
          <w:tcPr>
            <w:tcW w:w="1800" w:type="dxa"/>
          </w:tcPr>
          <w:p w14:paraId="1A2B3D78" w14:textId="77777777" w:rsidR="00A1B2C3" w:rsidRDefault="00A1B2C3">
            <w:r w:rsidRPr="00C4D5E6">
              <w:rPr>
                <w:rFonts w:ascii="Times New Roman" w:hAnsi="Times New Roman" w:eastAsia="宋体"/>
                <w:sz w:val="24"/>
                <w:szCs w:val="24"/>
              </w:rPr>
              <w:t xml:space="preserve">1.179</w:t>
            </w:r>
          </w:p>
        </w:tc>
      </w:tr>
      <w:tr>
        <w:tc>
          <w:tcPr>
            <w:tcW w:w="1800" w:type="dxa"/>
          </w:tcPr>
          <w:p w14:paraId="1A2B3D79" w14:textId="77777777" w:rsidR="00A1B2C3" w:rsidRDefault="00A1B2C3">
            <w:r w:rsidRPr="00C4D5E6">
              <w:rPr>
                <w:rFonts w:ascii="Times New Roman" w:hAnsi="Times New Roman" w:eastAsia="宋体"/>
                <w:sz w:val="24"/>
                <w:szCs w:val="24"/>
              </w:rPr>
              <w:t xml:space="preserve">DMR</w:t>
            </w:r>
          </w:p>
        </w:tc>
        <w:tc>
          <w:tcPr>
            <w:tcW w:w="1800" w:type="dxa"/>
          </w:tcPr>
          <w:p w14:paraId="1A2B3D7A" w14:textId="77777777" w:rsidR="00A1B2C3" w:rsidRDefault="00A1B2C3">
            <w:r w:rsidRPr="00C4D5E6">
              <w:rPr>
                <w:rFonts w:ascii="Times New Roman" w:hAnsi="Times New Roman" w:eastAsia="宋体"/>
                <w:sz w:val="24"/>
                <w:szCs w:val="24"/>
              </w:rPr>
              <w:t xml:space="preserve">Wu et al. ([15])</w:t>
            </w:r>
          </w:p>
        </w:tc>
        <w:tc>
          <w:tcPr>
            <w:tcW w:w="1800" w:type="dxa"/>
          </w:tcPr>
          <w:p w14:paraId="1A2B3D7B" w14:textId="77777777" w:rsidR="00A1B2C3" w:rsidRDefault="00A1B2C3">
            <w:r w:rsidRPr="00C4D5E6">
              <w:rPr>
                <w:rFonts w:ascii="Times New Roman" w:hAnsi="Times New Roman" w:eastAsia="宋体"/>
                <w:sz w:val="24"/>
                <w:szCs w:val="24"/>
              </w:rPr>
              <w:t xml:space="preserve">1.211</w:t>
            </w:r>
          </w:p>
        </w:tc>
        <w:tc>
          <w:tcPr>
            <w:tcW w:w="1800" w:type="dxa"/>
          </w:tcPr>
          <w:p w14:paraId="1A2B3D7C" w14:textId="77777777" w:rsidR="00A1B2C3" w:rsidRDefault="00A1B2C3">
            <w:r w:rsidRPr="00C4D5E6">
              <w:rPr>
                <w:rFonts w:ascii="Times New Roman" w:hAnsi="Times New Roman" w:eastAsia="宋体"/>
                <w:sz w:val="24"/>
                <w:szCs w:val="24"/>
              </w:rPr>
              <w:t xml:space="preserve">0.782</w:t>
            </w:r>
          </w:p>
        </w:tc>
        <w:tc>
          <w:tcPr>
            <w:tcW w:w="1800" w:type="dxa"/>
          </w:tcPr>
          <w:p w14:paraId="1A2B3D7D" w14:textId="77777777" w:rsidR="00A1B2C3" w:rsidRDefault="00A1B2C3">
            <w:r w:rsidRPr="00C4D5E6">
              <w:rPr>
                <w:rFonts w:ascii="Times New Roman" w:hAnsi="Times New Roman" w:eastAsia="宋体"/>
                <w:sz w:val="24"/>
                <w:szCs w:val="24"/>
              </w:rPr>
              <w:t xml:space="preserve">1.874</w:t>
            </w:r>
          </w:p>
        </w:tc>
      </w:tr>
      <w:tr>
        <w:tc>
          <w:tcPr>
            <w:tcW w:w="1800" w:type="dxa"/>
          </w:tcPr>
          <w:p w14:paraId="1A2B3D7E" w14:textId="77777777" w:rsidR="00A1B2C3" w:rsidRDefault="00A1B2C3"/>
        </w:tc>
        <w:tc>
          <w:tcPr>
            <w:tcW w:w="1800" w:type="dxa"/>
          </w:tcPr>
          <w:p w14:paraId="1A2B3D7F" w14:textId="77777777" w:rsidR="00A1B2C3" w:rsidRDefault="00A1B2C3">
            <w:r w:rsidRPr="00C4D5E6">
              <w:rPr>
                <w:rFonts w:ascii="Times New Roman" w:hAnsi="Times New Roman" w:eastAsia="宋体"/>
                <w:sz w:val="24"/>
                <w:szCs w:val="24"/>
              </w:rPr>
              <w:t xml:space="preserve">Chen et al. ([16])</w:t>
            </w:r>
          </w:p>
        </w:tc>
        <w:tc>
          <w:tcPr>
            <w:tcW w:w="1800" w:type="dxa"/>
          </w:tcPr>
          <w:p w14:paraId="1A2B3D80" w14:textId="77777777" w:rsidR="00A1B2C3" w:rsidRDefault="00A1B2C3">
            <w:r w:rsidRPr="00C4D5E6">
              <w:rPr>
                <w:rFonts w:ascii="Times New Roman" w:hAnsi="Times New Roman" w:eastAsia="宋体"/>
                <w:sz w:val="24"/>
                <w:szCs w:val="24"/>
              </w:rPr>
              <w:t xml:space="preserve">1.799</w:t>
            </w:r>
          </w:p>
        </w:tc>
        <w:tc>
          <w:tcPr>
            <w:tcW w:w="1800" w:type="dxa"/>
          </w:tcPr>
          <w:p w14:paraId="1A2B3D81" w14:textId="77777777" w:rsidR="00A1B2C3" w:rsidRDefault="00A1B2C3">
            <w:r w:rsidRPr="00C4D5E6">
              <w:rPr>
                <w:rFonts w:ascii="Times New Roman" w:hAnsi="Times New Roman" w:eastAsia="宋体"/>
                <w:sz w:val="24"/>
                <w:szCs w:val="24"/>
              </w:rPr>
              <w:t xml:space="preserve">1.134</w:t>
            </w:r>
          </w:p>
        </w:tc>
        <w:tc>
          <w:tcPr>
            <w:tcW w:w="1800" w:type="dxa"/>
          </w:tcPr>
          <w:p w14:paraId="1A2B3D82" w14:textId="77777777" w:rsidR="00A1B2C3" w:rsidRDefault="00A1B2C3">
            <w:r w:rsidRPr="00C4D5E6">
              <w:rPr>
                <w:rFonts w:ascii="Times New Roman" w:hAnsi="Times New Roman" w:eastAsia="宋体"/>
                <w:sz w:val="24"/>
                <w:szCs w:val="24"/>
              </w:rPr>
              <w:t xml:space="preserve">2.855</w:t>
            </w:r>
          </w:p>
        </w:tc>
      </w:tr>
      <w:tr>
        <w:tc>
          <w:tcPr>
            <w:tcW w:w="1800" w:type="dxa"/>
          </w:tcPr>
          <w:p w14:paraId="1A2B3D83" w14:textId="77777777" w:rsidR="00A1B2C3" w:rsidRDefault="00A1B2C3"/>
        </w:tc>
        <w:tc>
          <w:tcPr>
            <w:tcW w:w="1800" w:type="dxa"/>
          </w:tcPr>
          <w:p w14:paraId="1A2B3D84" w14:textId="77777777" w:rsidR="00A1B2C3" w:rsidRDefault="00A1B2C3">
            <w:r w:rsidRPr="00C4D5E6">
              <w:rPr>
                <w:rFonts w:ascii="Times New Roman" w:hAnsi="Times New Roman" w:eastAsia="宋体"/>
                <w:sz w:val="24"/>
                <w:szCs w:val="24"/>
              </w:rPr>
              <w:t xml:space="preserve">Chen et al. ([17])</w:t>
            </w:r>
          </w:p>
        </w:tc>
        <w:tc>
          <w:tcPr>
            <w:tcW w:w="1800" w:type="dxa"/>
          </w:tcPr>
          <w:p w14:paraId="1A2B3D85" w14:textId="77777777" w:rsidR="00A1B2C3" w:rsidRDefault="00A1B2C3">
            <w:r w:rsidRPr="00C4D5E6">
              <w:rPr>
                <w:rFonts w:ascii="Times New Roman" w:hAnsi="Times New Roman" w:eastAsia="宋体"/>
                <w:sz w:val="24"/>
                <w:szCs w:val="24"/>
              </w:rPr>
              <w:t xml:space="preserve">1.761</w:t>
            </w:r>
          </w:p>
        </w:tc>
        <w:tc>
          <w:tcPr>
            <w:tcW w:w="1800" w:type="dxa"/>
          </w:tcPr>
          <w:p w14:paraId="1A2B3D86" w14:textId="77777777" w:rsidR="00A1B2C3" w:rsidRDefault="00A1B2C3">
            <w:r w:rsidRPr="00C4D5E6">
              <w:rPr>
                <w:rFonts w:ascii="Times New Roman" w:hAnsi="Times New Roman" w:eastAsia="宋体"/>
                <w:sz w:val="24"/>
                <w:szCs w:val="24"/>
              </w:rPr>
              <w:t xml:space="preserve">1.145</w:t>
            </w:r>
          </w:p>
        </w:tc>
        <w:tc>
          <w:tcPr>
            <w:tcW w:w="1800" w:type="dxa"/>
          </w:tcPr>
          <w:p w14:paraId="1A2B3D87" w14:textId="77777777" w:rsidR="00A1B2C3" w:rsidRDefault="00A1B2C3">
            <w:r w:rsidRPr="00C4D5E6">
              <w:rPr>
                <w:rFonts w:ascii="Times New Roman" w:hAnsi="Times New Roman" w:eastAsia="宋体"/>
                <w:sz w:val="24"/>
                <w:szCs w:val="24"/>
              </w:rPr>
              <w:t xml:space="preserve">2.709</w:t>
            </w:r>
          </w:p>
        </w:tc>
      </w:tr>
      <w:tr>
        <w:tc>
          <w:tcPr>
            <w:tcW w:w="1800" w:type="dxa"/>
          </w:tcPr>
          <w:p w14:paraId="1A2B3D88" w14:textId="77777777" w:rsidR="00A1B2C3" w:rsidRDefault="00A1B2C3"/>
        </w:tc>
        <w:tc>
          <w:tcPr>
            <w:tcW w:w="1800" w:type="dxa"/>
          </w:tcPr>
          <w:p w14:paraId="1A2B3D89" w14:textId="77777777" w:rsidR="00A1B2C3" w:rsidRDefault="00A1B2C3">
            <w:r w:rsidRPr="00C4D5E6">
              <w:rPr>
                <w:rFonts w:ascii="Times New Roman" w:hAnsi="Times New Roman" w:eastAsia="宋体"/>
                <w:sz w:val="24"/>
                <w:szCs w:val="24"/>
              </w:rPr>
              <w:t xml:space="preserve">Combined</w:t>
            </w:r>
          </w:p>
        </w:tc>
        <w:tc>
          <w:tcPr>
            <w:tcW w:w="1800" w:type="dxa"/>
          </w:tcPr>
          <w:p w14:paraId="1A2B3D8A" w14:textId="77777777" w:rsidR="00A1B2C3" w:rsidRDefault="00A1B2C3">
            <w:r w:rsidRPr="00C4D5E6">
              <w:rPr>
                <w:rFonts w:ascii="Times New Roman" w:hAnsi="Times New Roman" w:eastAsia="宋体"/>
                <w:sz w:val="24"/>
                <w:szCs w:val="24"/>
              </w:rPr>
              <w:t xml:space="preserve">1.562</w:t>
            </w:r>
          </w:p>
        </w:tc>
        <w:tc>
          <w:tcPr>
            <w:tcW w:w="1800" w:type="dxa"/>
          </w:tcPr>
          <w:p w14:paraId="1A2B3D8B" w14:textId="77777777" w:rsidR="00A1B2C3" w:rsidRDefault="00A1B2C3">
            <w:r w:rsidRPr="00C4D5E6">
              <w:rPr>
                <w:rFonts w:ascii="Times New Roman" w:hAnsi="Times New Roman" w:eastAsia="宋体"/>
                <w:sz w:val="24"/>
                <w:szCs w:val="24"/>
              </w:rPr>
              <w:t xml:space="preserve">1.090</w:t>
            </w:r>
          </w:p>
        </w:tc>
        <w:tc>
          <w:tcPr>
            <w:tcW w:w="1800" w:type="dxa"/>
          </w:tcPr>
          <w:p w14:paraId="1A2B3D8C" w14:textId="77777777" w:rsidR="00A1B2C3" w:rsidRDefault="00A1B2C3">
            <w:r w:rsidRPr="00C4D5E6">
              <w:rPr>
                <w:rFonts w:ascii="Times New Roman" w:hAnsi="Times New Roman" w:eastAsia="宋体"/>
                <w:sz w:val="24"/>
                <w:szCs w:val="24"/>
              </w:rPr>
              <w:t xml:space="preserve">2.240</w:t>
            </w:r>
          </w:p>
        </w:tc>
      </w:tr>
    </w:tbl>
    <w:p w14:paraId="1A2B3D8D"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DMR, distant metastasis rate; LRR, local recurrence rate; OS, overall survival.</w:t>
      </w:r>
    </w:p>
    <w:p w14:paraId="1A2B3D8E" w14:textId="77777777" w:rsidR="00A1B2C3" w:rsidRDefault="00A1B2C3">
      <w:pPr>
        <w:pStyle w:val="Heading3"/>
      </w:pPr>
      <w:r w:rsidRPr="00C4D5E6">
        <w:rPr>
          <w:rFonts w:ascii="Times New Roman" w:hAnsi="Times New Roman" w:eastAsia="宋体"/>
          <w:sz w:val="24"/>
          <w:szCs w:val="24"/>
        </w:rPr>
        <w:t xml:space="preserve">Publication Bias Analysis</w:t>
      </w:r>
    </w:p>
    <w:p w14:paraId="1A2B3D8F" w14:textId="77777777" w:rsidR="00A1B2C3" w:rsidRDefault="00A1B2C3">
      <w:pPr>
        <w:spacing w:line="480" w:lineRule="auto"/>
        <w:ind w:firstLine="480"/>
        <w:jc w:val="both"/>
      </w:pPr>
      <w:r w:rsidRPr="00C4D5E6">
        <w:rPr>
          <w:rFonts w:ascii="Times New Roman" w:hAnsi="Times New Roman" w:eastAsia="宋体"/>
          <w:sz w:val="24"/>
          <w:szCs w:val="24"/>
        </w:rPr>
        <w:t xml:space="preserve">Funnel plot was used to evaluate the publication bias. Egger’s regression test was conducted to analyze the symmetry of the funnel plot. None of the articles demonstrated publication bias (p &gt; 0.05) (</w:t>
      </w:r>
      <w:r w:rsidRPr="00C4D5E6">
        <w:rPr>
          <w:b/>
          <w:rFonts w:ascii="Times New Roman" w:hAnsi="Times New Roman" w:eastAsia="宋体"/>
          <w:sz w:val="24"/>
          <w:szCs w:val="24"/>
        </w:rPr>
        <w:t xml:space="preserve">Figures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Tables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w:t>
      </w:r>
    </w:p>
    <w:p w14:paraId="1A2B3D9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Funnel plots for 1-, 2-, and 3-year OS rate between IC-CCRT group and CCRT alone group. OS, overall survival; IC-CCRT, induction chemotherapy followed by concurrent chemoradiotherapy; CCRT, concurrent chemoradiotherapy; CCRT, concurrent chemoradiotherapy.</w:t>
      </w:r>
    </w:p>
    <w:p w14:paraId="1A2B3D9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6.</w:t>
      </w:r>
      <w:r w:rsidRPr="00C4D5E6">
        <w:rPr>
          <w:rFonts w:ascii="Times New Roman" w:hAnsi="Times New Roman" w:eastAsia="宋体"/>
          <w:sz w:val="24"/>
          <w:szCs w:val="24"/>
        </w:rPr>
        <w:t xml:space="preserve"> Funnel plots for 1-, 2-, 3-, and 5-year OS rate, LRR, and DMR between CCRT-CCT group and CCRT alone group. OS, overall survival; LRR, local recurrence rate; DMR, distant metastasis rate; CCRT-CCT, concurrent chemoradiotherapy followed by consolidation chemotherapy; CCRT, concurrent chemoradiotherapy.</w:t>
      </w:r>
    </w:p>
    <w:p w14:paraId="1A2B3D9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Publication bias results of selected articles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93" w14:textId="77777777" w:rsidR="00A1B2C3" w:rsidRDefault="00A1B2C3">
            <w:r w:rsidRPr="00C4D5E6">
              <w:rPr>
                <w:rFonts w:ascii="Times New Roman" w:hAnsi="Times New Roman" w:eastAsia="宋体"/>
                <w:sz w:val="24"/>
                <w:szCs w:val="24"/>
              </w:rPr>
              <w:t xml:space="preserve">Items</w:t>
            </w:r>
          </w:p>
        </w:tc>
        <w:tc>
          <w:tcPr>
            <w:tcW w:w="1800" w:type="dxa"/>
          </w:tcPr>
          <w:p w14:paraId="1A2B3D94" w14:textId="77777777" w:rsidR="00A1B2C3" w:rsidRDefault="00A1B2C3">
            <w:r w:rsidRPr="00C4D5E6">
              <w:rPr>
                <w:rFonts w:ascii="Times New Roman" w:hAnsi="Times New Roman" w:eastAsia="宋体"/>
                <w:sz w:val="24"/>
                <w:szCs w:val="24"/>
              </w:rPr>
              <w:t xml:space="preserve">t</w:t>
            </w:r>
          </w:p>
        </w:tc>
        <w:tc>
          <w:tcPr>
            <w:tcW w:w="1800" w:type="dxa"/>
          </w:tcPr>
          <w:p w14:paraId="1A2B3D95" w14:textId="77777777" w:rsidR="00A1B2C3" w:rsidRDefault="00A1B2C3">
            <w:r w:rsidRPr="00C4D5E6">
              <w:rPr>
                <w:rFonts w:ascii="Times New Roman" w:hAnsi="Times New Roman" w:eastAsia="宋体"/>
                <w:sz w:val="24"/>
                <w:szCs w:val="24"/>
              </w:rPr>
              <w:t xml:space="preserve">95% CI</w:t>
            </w:r>
          </w:p>
        </w:tc>
        <w:tc>
          <w:tcPr>
            <w:tcW w:w="1800" w:type="dxa"/>
          </w:tcPr>
          <w:p w14:paraId="1A2B3D96" w14:textId="77777777" w:rsidR="00A1B2C3" w:rsidRDefault="00A1B2C3"/>
        </w:tc>
        <w:tc>
          <w:tcPr>
            <w:tcW w:w="1800" w:type="dxa"/>
          </w:tcPr>
          <w:p w14:paraId="1A2B3D97" w14:textId="77777777" w:rsidR="00A1B2C3" w:rsidRDefault="00A1B2C3">
            <w:r w:rsidRPr="00C4D5E6">
              <w:rPr>
                <w:rFonts w:ascii="Times New Roman" w:hAnsi="Times New Roman" w:eastAsia="宋体"/>
                <w:sz w:val="24"/>
                <w:szCs w:val="24"/>
              </w:rPr>
              <w:t xml:space="preserve">p</w:t>
            </w:r>
          </w:p>
        </w:tc>
      </w:tr>
      <w:tr>
        <w:tc>
          <w:tcPr>
            <w:tcW w:w="1800" w:type="dxa"/>
          </w:tcPr>
          <w:p w14:paraId="1A2B3D98"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99" w14:textId="77777777" w:rsidR="00A1B2C3" w:rsidRDefault="00A1B2C3">
            <w:r w:rsidRPr="00C4D5E6">
              <w:rPr>
                <w:rFonts w:ascii="Times New Roman" w:hAnsi="Times New Roman" w:eastAsia="宋体"/>
                <w:sz w:val="24"/>
                <w:szCs w:val="24"/>
              </w:rPr>
              <w:t xml:space="preserve">-0.47</w:t>
            </w:r>
          </w:p>
        </w:tc>
        <w:tc>
          <w:tcPr>
            <w:tcW w:w="1800" w:type="dxa"/>
          </w:tcPr>
          <w:p w14:paraId="1A2B3D9A" w14:textId="77777777" w:rsidR="00A1B2C3" w:rsidRDefault="00A1B2C3">
            <w:r w:rsidRPr="00C4D5E6">
              <w:rPr>
                <w:rFonts w:ascii="Times New Roman" w:hAnsi="Times New Roman" w:eastAsia="宋体"/>
                <w:sz w:val="24"/>
                <w:szCs w:val="24"/>
              </w:rPr>
              <w:t xml:space="preserve">-32.863</w:t>
            </w:r>
          </w:p>
        </w:tc>
        <w:tc>
          <w:tcPr>
            <w:tcW w:w="1800" w:type="dxa"/>
          </w:tcPr>
          <w:p w14:paraId="1A2B3D9B" w14:textId="77777777" w:rsidR="00A1B2C3" w:rsidRDefault="00A1B2C3">
            <w:r w:rsidRPr="00C4D5E6">
              <w:rPr>
                <w:rFonts w:ascii="Times New Roman" w:hAnsi="Times New Roman" w:eastAsia="宋体"/>
                <w:sz w:val="24"/>
                <w:szCs w:val="24"/>
              </w:rPr>
              <w:t xml:space="preserve">30.511</w:t>
            </w:r>
          </w:p>
        </w:tc>
        <w:tc>
          <w:tcPr>
            <w:tcW w:w="1800" w:type="dxa"/>
          </w:tcPr>
          <w:p w14:paraId="1A2B3D9C" w14:textId="77777777" w:rsidR="00A1B2C3" w:rsidRDefault="00A1B2C3">
            <w:r w:rsidRPr="00C4D5E6">
              <w:rPr>
                <w:rFonts w:ascii="Times New Roman" w:hAnsi="Times New Roman" w:eastAsia="宋体"/>
                <w:sz w:val="24"/>
                <w:szCs w:val="24"/>
              </w:rPr>
              <w:t xml:space="preserve">0.719</w:t>
            </w:r>
          </w:p>
        </w:tc>
      </w:tr>
      <w:tr>
        <w:tc>
          <w:tcPr>
            <w:tcW w:w="1800" w:type="dxa"/>
          </w:tcPr>
          <w:p w14:paraId="1A2B3D9D"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9E" w14:textId="77777777" w:rsidR="00A1B2C3" w:rsidRDefault="00A1B2C3">
            <w:r w:rsidRPr="00C4D5E6">
              <w:rPr>
                <w:rFonts w:ascii="Times New Roman" w:hAnsi="Times New Roman" w:eastAsia="宋体"/>
                <w:sz w:val="24"/>
                <w:szCs w:val="24"/>
              </w:rPr>
              <w:t xml:space="preserve">-0.40</w:t>
            </w:r>
          </w:p>
        </w:tc>
        <w:tc>
          <w:tcPr>
            <w:tcW w:w="1800" w:type="dxa"/>
          </w:tcPr>
          <w:p w14:paraId="1A2B3D9F" w14:textId="77777777" w:rsidR="00A1B2C3" w:rsidRDefault="00A1B2C3">
            <w:r w:rsidRPr="00C4D5E6">
              <w:rPr>
                <w:rFonts w:ascii="Times New Roman" w:hAnsi="Times New Roman" w:eastAsia="宋体"/>
                <w:sz w:val="24"/>
                <w:szCs w:val="24"/>
              </w:rPr>
              <w:t xml:space="preserve">-24.901</w:t>
            </w:r>
          </w:p>
        </w:tc>
        <w:tc>
          <w:tcPr>
            <w:tcW w:w="1800" w:type="dxa"/>
          </w:tcPr>
          <w:p w14:paraId="1A2B3DA0" w14:textId="77777777" w:rsidR="00A1B2C3" w:rsidRDefault="00A1B2C3">
            <w:r w:rsidRPr="00C4D5E6">
              <w:rPr>
                <w:rFonts w:ascii="Times New Roman" w:hAnsi="Times New Roman" w:eastAsia="宋体"/>
                <w:sz w:val="24"/>
                <w:szCs w:val="24"/>
              </w:rPr>
              <w:t xml:space="preserve">23.382</w:t>
            </w:r>
          </w:p>
        </w:tc>
        <w:tc>
          <w:tcPr>
            <w:tcW w:w="1800" w:type="dxa"/>
          </w:tcPr>
          <w:p w14:paraId="1A2B3DA1" w14:textId="77777777" w:rsidR="00A1B2C3" w:rsidRDefault="00A1B2C3">
            <w:r w:rsidRPr="00C4D5E6">
              <w:rPr>
                <w:rFonts w:ascii="Times New Roman" w:hAnsi="Times New Roman" w:eastAsia="宋体"/>
                <w:sz w:val="24"/>
                <w:szCs w:val="24"/>
              </w:rPr>
              <w:t xml:space="preserve">0.758</w:t>
            </w:r>
          </w:p>
        </w:tc>
      </w:tr>
      <w:tr>
        <w:tc>
          <w:tcPr>
            <w:tcW w:w="1800" w:type="dxa"/>
          </w:tcPr>
          <w:p w14:paraId="1A2B3DA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A3" w14:textId="77777777" w:rsidR="00A1B2C3" w:rsidRDefault="00A1B2C3">
            <w:r w:rsidRPr="00C4D5E6">
              <w:rPr>
                <w:rFonts w:ascii="Times New Roman" w:hAnsi="Times New Roman" w:eastAsia="宋体"/>
                <w:sz w:val="24"/>
                <w:szCs w:val="24"/>
              </w:rPr>
              <w:t xml:space="preserve">-3.29</w:t>
            </w:r>
          </w:p>
        </w:tc>
        <w:tc>
          <w:tcPr>
            <w:tcW w:w="1800" w:type="dxa"/>
          </w:tcPr>
          <w:p w14:paraId="1A2B3DA4" w14:textId="77777777" w:rsidR="00A1B2C3" w:rsidRDefault="00A1B2C3">
            <w:r w:rsidRPr="00C4D5E6">
              <w:rPr>
                <w:rFonts w:ascii="Times New Roman" w:hAnsi="Times New Roman" w:eastAsia="宋体"/>
                <w:sz w:val="24"/>
                <w:szCs w:val="24"/>
              </w:rPr>
              <w:t xml:space="preserve">-11.006</w:t>
            </w:r>
          </w:p>
        </w:tc>
        <w:tc>
          <w:tcPr>
            <w:tcW w:w="1800" w:type="dxa"/>
          </w:tcPr>
          <w:p w14:paraId="1A2B3DA5" w14:textId="77777777" w:rsidR="00A1B2C3" w:rsidRDefault="00A1B2C3">
            <w:r w:rsidRPr="00C4D5E6">
              <w:rPr>
                <w:rFonts w:ascii="Times New Roman" w:hAnsi="Times New Roman" w:eastAsia="宋体"/>
                <w:sz w:val="24"/>
                <w:szCs w:val="24"/>
              </w:rPr>
              <w:t xml:space="preserve">6.476</w:t>
            </w:r>
          </w:p>
        </w:tc>
        <w:tc>
          <w:tcPr>
            <w:tcW w:w="1800" w:type="dxa"/>
          </w:tcPr>
          <w:p w14:paraId="1A2B3DA6" w14:textId="77777777" w:rsidR="00A1B2C3" w:rsidRDefault="00A1B2C3">
            <w:r w:rsidRPr="00C4D5E6">
              <w:rPr>
                <w:rFonts w:ascii="Times New Roman" w:hAnsi="Times New Roman" w:eastAsia="宋体"/>
                <w:sz w:val="24"/>
                <w:szCs w:val="24"/>
              </w:rPr>
              <w:t xml:space="preserve">0.188</w:t>
            </w:r>
          </w:p>
        </w:tc>
      </w:tr>
    </w:tbl>
    <w:p w14:paraId="1A2B3DA7"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DA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Publication bias results of selected articles (CCRT-CCT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A9" w14:textId="77777777" w:rsidR="00A1B2C3" w:rsidRDefault="00A1B2C3">
            <w:r w:rsidRPr="00C4D5E6">
              <w:rPr>
                <w:rFonts w:ascii="Times New Roman" w:hAnsi="Times New Roman" w:eastAsia="宋体"/>
                <w:sz w:val="24"/>
                <w:szCs w:val="24"/>
              </w:rPr>
              <w:t xml:space="preserve">Items</w:t>
            </w:r>
          </w:p>
        </w:tc>
        <w:tc>
          <w:tcPr>
            <w:tcW w:w="1800" w:type="dxa"/>
          </w:tcPr>
          <w:p w14:paraId="1A2B3DAA" w14:textId="77777777" w:rsidR="00A1B2C3" w:rsidRDefault="00A1B2C3">
            <w:r w:rsidRPr="00C4D5E6">
              <w:rPr>
                <w:rFonts w:ascii="Times New Roman" w:hAnsi="Times New Roman" w:eastAsia="宋体"/>
                <w:sz w:val="24"/>
                <w:szCs w:val="24"/>
              </w:rPr>
              <w:t xml:space="preserve">t</w:t>
            </w:r>
          </w:p>
        </w:tc>
        <w:tc>
          <w:tcPr>
            <w:tcW w:w="1800" w:type="dxa"/>
          </w:tcPr>
          <w:p w14:paraId="1A2B3DAB" w14:textId="77777777" w:rsidR="00A1B2C3" w:rsidRDefault="00A1B2C3">
            <w:r w:rsidRPr="00C4D5E6">
              <w:rPr>
                <w:rFonts w:ascii="Times New Roman" w:hAnsi="Times New Roman" w:eastAsia="宋体"/>
                <w:sz w:val="24"/>
                <w:szCs w:val="24"/>
              </w:rPr>
              <w:t xml:space="preserve">95% CI</w:t>
            </w:r>
          </w:p>
        </w:tc>
        <w:tc>
          <w:tcPr>
            <w:tcW w:w="1800" w:type="dxa"/>
          </w:tcPr>
          <w:p w14:paraId="1A2B3DAC" w14:textId="77777777" w:rsidR="00A1B2C3" w:rsidRDefault="00A1B2C3"/>
        </w:tc>
        <w:tc>
          <w:tcPr>
            <w:tcW w:w="1800" w:type="dxa"/>
          </w:tcPr>
          <w:p w14:paraId="1A2B3DAD" w14:textId="77777777" w:rsidR="00A1B2C3" w:rsidRDefault="00A1B2C3">
            <w:r w:rsidRPr="00C4D5E6">
              <w:rPr>
                <w:rFonts w:ascii="Times New Roman" w:hAnsi="Times New Roman" w:eastAsia="宋体"/>
                <w:sz w:val="24"/>
                <w:szCs w:val="24"/>
              </w:rPr>
              <w:t xml:space="preserve">p</w:t>
            </w:r>
          </w:p>
        </w:tc>
      </w:tr>
      <w:tr>
        <w:tc>
          <w:tcPr>
            <w:tcW w:w="1800" w:type="dxa"/>
          </w:tcPr>
          <w:p w14:paraId="1A2B3DAE"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AF" w14:textId="77777777" w:rsidR="00A1B2C3" w:rsidRDefault="00A1B2C3">
            <w:r w:rsidRPr="00C4D5E6">
              <w:rPr>
                <w:rFonts w:ascii="Times New Roman" w:hAnsi="Times New Roman" w:eastAsia="宋体"/>
                <w:sz w:val="24"/>
                <w:szCs w:val="24"/>
              </w:rPr>
              <w:t xml:space="preserve">-1.00</w:t>
            </w:r>
          </w:p>
        </w:tc>
        <w:tc>
          <w:tcPr>
            <w:tcW w:w="1800" w:type="dxa"/>
          </w:tcPr>
          <w:p w14:paraId="1A2B3DB0" w14:textId="77777777" w:rsidR="00A1B2C3" w:rsidRDefault="00A1B2C3">
            <w:r w:rsidRPr="00C4D5E6">
              <w:rPr>
                <w:rFonts w:ascii="Times New Roman" w:hAnsi="Times New Roman" w:eastAsia="宋体"/>
                <w:sz w:val="24"/>
                <w:szCs w:val="24"/>
              </w:rPr>
              <w:t xml:space="preserve">-6.527</w:t>
            </w:r>
          </w:p>
        </w:tc>
        <w:tc>
          <w:tcPr>
            <w:tcW w:w="1800" w:type="dxa"/>
          </w:tcPr>
          <w:p w14:paraId="1A2B3DB1" w14:textId="77777777" w:rsidR="00A1B2C3" w:rsidRDefault="00A1B2C3">
            <w:r w:rsidRPr="00C4D5E6">
              <w:rPr>
                <w:rFonts w:ascii="Times New Roman" w:hAnsi="Times New Roman" w:eastAsia="宋体"/>
                <w:sz w:val="24"/>
                <w:szCs w:val="24"/>
              </w:rPr>
              <w:t xml:space="preserve">3.070</w:t>
            </w:r>
          </w:p>
        </w:tc>
        <w:tc>
          <w:tcPr>
            <w:tcW w:w="1800" w:type="dxa"/>
          </w:tcPr>
          <w:p w14:paraId="1A2B3DB2" w14:textId="77777777" w:rsidR="00A1B2C3" w:rsidRDefault="00A1B2C3">
            <w:r w:rsidRPr="00C4D5E6">
              <w:rPr>
                <w:rFonts w:ascii="Times New Roman" w:hAnsi="Times New Roman" w:eastAsia="宋体"/>
                <w:sz w:val="24"/>
                <w:szCs w:val="24"/>
              </w:rPr>
              <w:t xml:space="preserve">0.374</w:t>
            </w:r>
          </w:p>
        </w:tc>
      </w:tr>
      <w:tr>
        <w:tc>
          <w:tcPr>
            <w:tcW w:w="1800" w:type="dxa"/>
          </w:tcPr>
          <w:p w14:paraId="1A2B3DB3"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B4" w14:textId="77777777" w:rsidR="00A1B2C3" w:rsidRDefault="00A1B2C3">
            <w:r w:rsidRPr="00C4D5E6">
              <w:rPr>
                <w:rFonts w:ascii="Times New Roman" w:hAnsi="Times New Roman" w:eastAsia="宋体"/>
                <w:sz w:val="24"/>
                <w:szCs w:val="24"/>
              </w:rPr>
              <w:t xml:space="preserve">-2.66</w:t>
            </w:r>
          </w:p>
        </w:tc>
        <w:tc>
          <w:tcPr>
            <w:tcW w:w="1800" w:type="dxa"/>
          </w:tcPr>
          <w:p w14:paraId="1A2B3DB5" w14:textId="77777777" w:rsidR="00A1B2C3" w:rsidRDefault="00A1B2C3">
            <w:r w:rsidRPr="00C4D5E6">
              <w:rPr>
                <w:rFonts w:ascii="Times New Roman" w:hAnsi="Times New Roman" w:eastAsia="宋体"/>
                <w:sz w:val="24"/>
                <w:szCs w:val="24"/>
              </w:rPr>
              <w:t xml:space="preserve">-2.785</w:t>
            </w:r>
          </w:p>
        </w:tc>
        <w:tc>
          <w:tcPr>
            <w:tcW w:w="1800" w:type="dxa"/>
          </w:tcPr>
          <w:p w14:paraId="1A2B3DB6" w14:textId="77777777" w:rsidR="00A1B2C3" w:rsidRDefault="00A1B2C3">
            <w:r w:rsidRPr="00C4D5E6">
              <w:rPr>
                <w:rFonts w:ascii="Times New Roman" w:hAnsi="Times New Roman" w:eastAsia="宋体"/>
                <w:sz w:val="24"/>
                <w:szCs w:val="24"/>
              </w:rPr>
              <w:t xml:space="preserve">0.657</w:t>
            </w:r>
          </w:p>
        </w:tc>
        <w:tc>
          <w:tcPr>
            <w:tcW w:w="1800" w:type="dxa"/>
          </w:tcPr>
          <w:p w14:paraId="1A2B3DB7" w14:textId="77777777" w:rsidR="00A1B2C3" w:rsidRDefault="00A1B2C3">
            <w:r w:rsidRPr="00C4D5E6">
              <w:rPr>
                <w:rFonts w:ascii="Times New Roman" w:hAnsi="Times New Roman" w:eastAsia="宋体"/>
                <w:sz w:val="24"/>
                <w:szCs w:val="24"/>
              </w:rPr>
              <w:t xml:space="preserve">0.117</w:t>
            </w:r>
          </w:p>
        </w:tc>
      </w:tr>
      <w:tr>
        <w:tc>
          <w:tcPr>
            <w:tcW w:w="1800" w:type="dxa"/>
          </w:tcPr>
          <w:p w14:paraId="1A2B3DB8"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B9" w14:textId="77777777" w:rsidR="00A1B2C3" w:rsidRDefault="00A1B2C3">
            <w:r w:rsidRPr="00C4D5E6">
              <w:rPr>
                <w:rFonts w:ascii="Times New Roman" w:hAnsi="Times New Roman" w:eastAsia="宋体"/>
                <w:sz w:val="24"/>
                <w:szCs w:val="24"/>
              </w:rPr>
              <w:t xml:space="preserve">-2.36</w:t>
            </w:r>
          </w:p>
        </w:tc>
        <w:tc>
          <w:tcPr>
            <w:tcW w:w="1800" w:type="dxa"/>
          </w:tcPr>
          <w:p w14:paraId="1A2B3DBA" w14:textId="77777777" w:rsidR="00A1B2C3" w:rsidRDefault="00A1B2C3">
            <w:r w:rsidRPr="00C4D5E6">
              <w:rPr>
                <w:rFonts w:ascii="Times New Roman" w:hAnsi="Times New Roman" w:eastAsia="宋体"/>
                <w:sz w:val="24"/>
                <w:szCs w:val="24"/>
              </w:rPr>
              <w:t xml:space="preserve">-3.792</w:t>
            </w:r>
          </w:p>
        </w:tc>
        <w:tc>
          <w:tcPr>
            <w:tcW w:w="1800" w:type="dxa"/>
          </w:tcPr>
          <w:p w14:paraId="1A2B3DBB" w14:textId="77777777" w:rsidR="00A1B2C3" w:rsidRDefault="00A1B2C3">
            <w:r w:rsidRPr="00C4D5E6">
              <w:rPr>
                <w:rFonts w:ascii="Times New Roman" w:hAnsi="Times New Roman" w:eastAsia="宋体"/>
                <w:sz w:val="24"/>
                <w:szCs w:val="24"/>
              </w:rPr>
              <w:t xml:space="preserve">0.304</w:t>
            </w:r>
          </w:p>
        </w:tc>
        <w:tc>
          <w:tcPr>
            <w:tcW w:w="1800" w:type="dxa"/>
          </w:tcPr>
          <w:p w14:paraId="1A2B3DBC" w14:textId="77777777" w:rsidR="00A1B2C3" w:rsidRDefault="00A1B2C3">
            <w:r w:rsidRPr="00C4D5E6">
              <w:rPr>
                <w:rFonts w:ascii="Times New Roman" w:hAnsi="Times New Roman" w:eastAsia="宋体"/>
                <w:sz w:val="24"/>
                <w:szCs w:val="24"/>
              </w:rPr>
              <w:t xml:space="preserve">0.077</w:t>
            </w:r>
          </w:p>
        </w:tc>
      </w:tr>
      <w:tr>
        <w:tc>
          <w:tcPr>
            <w:tcW w:w="1800" w:type="dxa"/>
          </w:tcPr>
          <w:p w14:paraId="1A2B3DBD"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BE" w14:textId="77777777" w:rsidR="00A1B2C3" w:rsidRDefault="00A1B2C3">
            <w:r w:rsidRPr="00C4D5E6">
              <w:rPr>
                <w:rFonts w:ascii="Times New Roman" w:hAnsi="Times New Roman" w:eastAsia="宋体"/>
                <w:sz w:val="24"/>
                <w:szCs w:val="24"/>
              </w:rPr>
              <w:t xml:space="preserve">-1.56</w:t>
            </w:r>
          </w:p>
        </w:tc>
        <w:tc>
          <w:tcPr>
            <w:tcW w:w="1800" w:type="dxa"/>
          </w:tcPr>
          <w:p w14:paraId="1A2B3DBF" w14:textId="77777777" w:rsidR="00A1B2C3" w:rsidRDefault="00A1B2C3">
            <w:r w:rsidRPr="00C4D5E6">
              <w:rPr>
                <w:rFonts w:ascii="Times New Roman" w:hAnsi="Times New Roman" w:eastAsia="宋体"/>
                <w:sz w:val="24"/>
                <w:szCs w:val="24"/>
              </w:rPr>
              <w:t xml:space="preserve">-12.670</w:t>
            </w:r>
          </w:p>
        </w:tc>
        <w:tc>
          <w:tcPr>
            <w:tcW w:w="1800" w:type="dxa"/>
          </w:tcPr>
          <w:p w14:paraId="1A2B3DC0" w14:textId="77777777" w:rsidR="00A1B2C3" w:rsidRDefault="00A1B2C3">
            <w:r w:rsidRPr="00C4D5E6">
              <w:rPr>
                <w:rFonts w:ascii="Times New Roman" w:hAnsi="Times New Roman" w:eastAsia="宋体"/>
                <w:sz w:val="24"/>
                <w:szCs w:val="24"/>
              </w:rPr>
              <w:t xml:space="preserve">5.927</w:t>
            </w:r>
          </w:p>
        </w:tc>
        <w:tc>
          <w:tcPr>
            <w:tcW w:w="1800" w:type="dxa"/>
          </w:tcPr>
          <w:p w14:paraId="1A2B3DC1" w14:textId="77777777" w:rsidR="00A1B2C3" w:rsidRDefault="00A1B2C3">
            <w:r w:rsidRPr="00C4D5E6">
              <w:rPr>
                <w:rFonts w:ascii="Times New Roman" w:hAnsi="Times New Roman" w:eastAsia="宋体"/>
                <w:sz w:val="24"/>
                <w:szCs w:val="24"/>
              </w:rPr>
              <w:t xml:space="preserve">0.259</w:t>
            </w:r>
          </w:p>
        </w:tc>
      </w:tr>
      <w:tr>
        <w:tc>
          <w:tcPr>
            <w:tcW w:w="1800" w:type="dxa"/>
          </w:tcPr>
          <w:p w14:paraId="1A2B3DC2" w14:textId="77777777" w:rsidR="00A1B2C3" w:rsidRDefault="00A1B2C3">
            <w:r w:rsidRPr="00C4D5E6">
              <w:rPr>
                <w:rFonts w:ascii="Times New Roman" w:hAnsi="Times New Roman" w:eastAsia="宋体"/>
                <w:sz w:val="24"/>
                <w:szCs w:val="24"/>
              </w:rPr>
              <w:t xml:space="preserve">Local recurrence rate</w:t>
            </w:r>
          </w:p>
        </w:tc>
        <w:tc>
          <w:tcPr>
            <w:tcW w:w="1800" w:type="dxa"/>
          </w:tcPr>
          <w:p w14:paraId="1A2B3DC3" w14:textId="77777777" w:rsidR="00A1B2C3" w:rsidRDefault="00A1B2C3">
            <w:r w:rsidRPr="00C4D5E6">
              <w:rPr>
                <w:rFonts w:ascii="Times New Roman" w:hAnsi="Times New Roman" w:eastAsia="宋体"/>
                <w:sz w:val="24"/>
                <w:szCs w:val="24"/>
              </w:rPr>
              <w:t xml:space="preserve">-1.42</w:t>
            </w:r>
          </w:p>
        </w:tc>
        <w:tc>
          <w:tcPr>
            <w:tcW w:w="1800" w:type="dxa"/>
          </w:tcPr>
          <w:p w14:paraId="1A2B3DC4" w14:textId="77777777" w:rsidR="00A1B2C3" w:rsidRDefault="00A1B2C3">
            <w:r w:rsidRPr="00C4D5E6">
              <w:rPr>
                <w:rFonts w:ascii="Times New Roman" w:hAnsi="Times New Roman" w:eastAsia="宋体"/>
                <w:sz w:val="24"/>
                <w:szCs w:val="24"/>
              </w:rPr>
              <w:t xml:space="preserve">-74.957</w:t>
            </w:r>
          </w:p>
        </w:tc>
        <w:tc>
          <w:tcPr>
            <w:tcW w:w="1800" w:type="dxa"/>
          </w:tcPr>
          <w:p w14:paraId="1A2B3DC5" w14:textId="77777777" w:rsidR="00A1B2C3" w:rsidRDefault="00A1B2C3">
            <w:r w:rsidRPr="00C4D5E6">
              <w:rPr>
                <w:rFonts w:ascii="Times New Roman" w:hAnsi="Times New Roman" w:eastAsia="宋体"/>
                <w:sz w:val="24"/>
                <w:szCs w:val="24"/>
              </w:rPr>
              <w:t xml:space="preserve">59.923</w:t>
            </w:r>
          </w:p>
        </w:tc>
        <w:tc>
          <w:tcPr>
            <w:tcW w:w="1800" w:type="dxa"/>
          </w:tcPr>
          <w:p w14:paraId="1A2B3DC6" w14:textId="77777777" w:rsidR="00A1B2C3" w:rsidRDefault="00A1B2C3">
            <w:r w:rsidRPr="00C4D5E6">
              <w:rPr>
                <w:rFonts w:ascii="Times New Roman" w:hAnsi="Times New Roman" w:eastAsia="宋体"/>
                <w:sz w:val="24"/>
                <w:szCs w:val="24"/>
              </w:rPr>
              <w:t xml:space="preserve">0.391</w:t>
            </w:r>
          </w:p>
        </w:tc>
      </w:tr>
      <w:tr>
        <w:tc>
          <w:tcPr>
            <w:tcW w:w="1800" w:type="dxa"/>
          </w:tcPr>
          <w:p w14:paraId="1A2B3DC7" w14:textId="77777777" w:rsidR="00A1B2C3" w:rsidRDefault="00A1B2C3">
            <w:r w:rsidRPr="00C4D5E6">
              <w:rPr>
                <w:rFonts w:ascii="Times New Roman" w:hAnsi="Times New Roman" w:eastAsia="宋体"/>
                <w:sz w:val="24"/>
                <w:szCs w:val="24"/>
              </w:rPr>
              <w:t xml:space="preserve">Distant metastasis rate</w:t>
            </w:r>
          </w:p>
        </w:tc>
        <w:tc>
          <w:tcPr>
            <w:tcW w:w="1800" w:type="dxa"/>
          </w:tcPr>
          <w:p w14:paraId="1A2B3DC8" w14:textId="77777777" w:rsidR="00A1B2C3" w:rsidRDefault="00A1B2C3">
            <w:r w:rsidRPr="00C4D5E6">
              <w:rPr>
                <w:rFonts w:ascii="Times New Roman" w:hAnsi="Times New Roman" w:eastAsia="宋体"/>
                <w:sz w:val="24"/>
                <w:szCs w:val="24"/>
              </w:rPr>
              <w:t xml:space="preserve">0.53</w:t>
            </w:r>
          </w:p>
        </w:tc>
        <w:tc>
          <w:tcPr>
            <w:tcW w:w="1800" w:type="dxa"/>
          </w:tcPr>
          <w:p w14:paraId="1A2B3DC9" w14:textId="77777777" w:rsidR="00A1B2C3" w:rsidRDefault="00A1B2C3">
            <w:r w:rsidRPr="00C4D5E6">
              <w:rPr>
                <w:rFonts w:ascii="Times New Roman" w:hAnsi="Times New Roman" w:eastAsia="宋体"/>
                <w:sz w:val="24"/>
                <w:szCs w:val="24"/>
              </w:rPr>
              <w:t xml:space="preserve">-190.069</w:t>
            </w:r>
          </w:p>
        </w:tc>
        <w:tc>
          <w:tcPr>
            <w:tcW w:w="1800" w:type="dxa"/>
          </w:tcPr>
          <w:p w14:paraId="1A2B3DCA" w14:textId="77777777" w:rsidR="00A1B2C3" w:rsidRDefault="00A1B2C3">
            <w:r w:rsidRPr="00C4D5E6">
              <w:rPr>
                <w:rFonts w:ascii="Times New Roman" w:hAnsi="Times New Roman" w:eastAsia="宋体"/>
                <w:sz w:val="24"/>
                <w:szCs w:val="24"/>
              </w:rPr>
              <w:t xml:space="preserve">206.648</w:t>
            </w:r>
          </w:p>
        </w:tc>
        <w:tc>
          <w:tcPr>
            <w:tcW w:w="1800" w:type="dxa"/>
          </w:tcPr>
          <w:p w14:paraId="1A2B3DCB" w14:textId="77777777" w:rsidR="00A1B2C3" w:rsidRDefault="00A1B2C3">
            <w:r w:rsidRPr="00C4D5E6">
              <w:rPr>
                <w:rFonts w:ascii="Times New Roman" w:hAnsi="Times New Roman" w:eastAsia="宋体"/>
                <w:sz w:val="24"/>
                <w:szCs w:val="24"/>
              </w:rPr>
              <w:t xml:space="preserve">0.689</w:t>
            </w:r>
          </w:p>
        </w:tc>
      </w:tr>
    </w:tbl>
    <w:p w14:paraId="1A2B3DCC"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OS, overall survival.</w:t>
      </w:r>
    </w:p>
    <w:p w14:paraId="1A2B3DCD" w14:textId="77777777" w:rsidR="00A1B2C3" w:rsidRDefault="00A1B2C3">
      <w:pPr>
        <w:pStyle w:val="Heading2"/>
      </w:pPr>
      <w:r w:rsidRPr="00C4D5E6">
        <w:rPr>
          <w:rFonts w:ascii="Times New Roman" w:hAnsi="Times New Roman" w:eastAsia="宋体"/>
          <w:sz w:val="24"/>
          <w:szCs w:val="24"/>
        </w:rPr>
        <w:t xml:space="preserve">Discussion</w:t>
      </w:r>
    </w:p>
    <w:p w14:paraId="1A2B3DCE"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evaluated the value of additional IC or CCT in unresectable EC undergoing CCRT. The results showed that the additional IC or CCT may be an important factor affecting short-term survival but not long-term survival. To the best of our knowledge, this is the first meta-analysis to discuss the efficacy of IC in patients with unresectable EC treated with CCRT.</w:t>
      </w:r>
    </w:p>
    <w:p w14:paraId="1A2B3DCF" w14:textId="77777777" w:rsidR="00A1B2C3" w:rsidRDefault="00A1B2C3">
      <w:pPr>
        <w:spacing w:line="480" w:lineRule="auto"/>
        <w:ind w:firstLine="480"/>
        <w:jc w:val="both"/>
      </w:pPr>
      <w:r w:rsidRPr="00C4D5E6">
        <w:rPr>
          <w:rFonts w:ascii="Times New Roman" w:hAnsi="Times New Roman" w:eastAsia="宋体"/>
          <w:sz w:val="24"/>
          <w:szCs w:val="24"/>
        </w:rPr>
        <w:t xml:space="preserve">In theory, the addition of IC before CCRT has the potential advantage to degrade the stage and reduce the size of tumor. Chemotherapy response before radiotherapy is associated with reduced lung and heart irradiation and increased tolerance of the patients. Lu et al. ([21]) reported that additional IC for EC patients treated with neoadjuvant CCRT followed by esophagectomy was associated with a higher pathological complete response (pCR) rate (45.3%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33.5%, p = 0.005) and better 5-year OS rate (90.5%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48.1%, p = 0.015) compared to CCRT alone. Recently a multicenter randomized phase II trial showed that adding IC prior to trimodality therapy did not improve pCR but was associated with longer median OS ([22]). In our study, the IC-CCRT group had a higher 1-year OS rate over that of the CCRT group (HR 0.445, 95% CI 0.286–0.693; p &lt; 0.001), but 2- and 3-year OS rate between the two groups was similar. Several possible reasons may explain this result. Firstly, our study focused on nonoperative EC patients; the treatment modality might influence the prognosis. Secondly, the additional IC might facilitate the elimination of occult micrometastasis for the patients with well response to chemoradiotherapy, whereas it might not carry out a positive impact for poorly responding patients and seemed to have limited benefits in long-term survival. In the study by Luo et al. ([12]), the IC responders (51%) achieved significantly more favorable OS compared with the IC nonresponder group and the CCRT alone group (p = 0.002), and there was no significant difference in terms of OS between the IC-CCRT and CCRT groups. Liu et al. ([14]) also observed that patients who responded to IC had improved survival in the </w:t>
      </w:r>
      <w:r w:rsidRPr="00C4D5E6">
        <w:rPr>
          <w:i/>
          <w:rFonts w:ascii="Times New Roman" w:hAnsi="Times New Roman" w:eastAsia="宋体"/>
          <w:sz w:val="24"/>
          <w:szCs w:val="24"/>
        </w:rPr>
        <w:t xml:space="preserve">post-hoc</w:t>
      </w:r>
      <w:r w:rsidRPr="00C4D5E6">
        <w:rPr>
          <w:rFonts w:ascii="Times New Roman" w:hAnsi="Times New Roman" w:eastAsia="宋体"/>
          <w:sz w:val="24"/>
          <w:szCs w:val="24"/>
        </w:rPr>
        <w:t xml:space="preserve"> analysis. Thirdly, histological types and tumor biological characteristics between ESCC and EAC are heterogeneous. Xi et al. ([13]) accounted for 41.9% of the total number of patients in the meta-analysis, and its negative results might impact the final analysis outcomes. However, in the sensitivity analysis after deleting this article by Xi et al. ([13]), the new results were consistent with the original results. How to predict the sensitivity to chemotherapy might be the decisive factor. Greally et al. ([23]) evaluated the predictive value of PET following IC in ESCC patients and assessed the impact of changing chemotherapy during radiation in PET nonresponders. They found that PET after IC highly predicts outcomes in ESCC patients who receive chemoradiation. Early predictions of the efficacy of induction therapy are imminent and needed to further clinical research.</w:t>
      </w:r>
    </w:p>
    <w:p w14:paraId="1A2B3DD0" w14:textId="77777777" w:rsidR="00A1B2C3" w:rsidRDefault="00A1B2C3">
      <w:pPr>
        <w:spacing w:line="480" w:lineRule="auto"/>
        <w:ind w:firstLine="480"/>
        <w:jc w:val="both"/>
      </w:pPr>
      <w:r w:rsidRPr="00C4D5E6">
        <w:rPr>
          <w:rFonts w:ascii="Times New Roman" w:hAnsi="Times New Roman" w:eastAsia="宋体"/>
          <w:sz w:val="24"/>
          <w:szCs w:val="24"/>
        </w:rPr>
        <w:t xml:space="preserve">In this meta-analysis, the patients included in the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were all with ESCC. It was noteworthy that there were fewer patients developing distant metastases in the CCRT-CCT group than in the CCRT group [15 of 67 (22.4%)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62 of 142 (43.7%), p = 0.003] in the study of Wu et al. ([15]), and the CCRT-CCT group had remarkably prolonged median OS of 26.4 months (p = 0.04), while the DMR and OS showed no differences in two other studies. In order to identify patients who may benefit from CCT, Chen et al. ([17]) conducted further analysis based on various prognostic factors, including clinical N-stage (N0, N1, and N2), clinical M-stage (M0 and M1), and so on, and no significant survival differences between CCRT-CCT and CCRT were observed in any subgroup. In our meta-analysis, the addition of CCT reduced the DMR (p = 0.015) and can improve 1- and 3-year OS rate. Koh et al. ([19]) validated the positive effect of intensified treatment on survival in ESCC patients with definitive CCRT by modern radiotherapy techniques, and 45.2% patients received radiotherapy with biologically effective dose (BED) ≥70 Gy. As the radiation doses in the involved studies were not uniform, whether the additional CCT is the main factor affecting prognosis needs to be further explored. Also, whether patients who responded poorly to CCRT could gain a survival benefit from CCT needs to be studied further. Kim et al. ([24]) divided patients who received CCT after CCRT into “good risk” and “poor risk” groups based on smoking &gt;20 pack-years, dysphagia scores &gt;2, and so on. In the “good risk” group, patients with following CCT showed better OS than those without (30.4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0.002), whereas patients failed to obtain benefits from CCT in the “poor risk group” (14.0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0.828). In view of the 1- and 3-year OS survival improved by CCT, but not 2- and 5-year OS rate of our conclusion, the results were not robust enough and the value of CCT is still worthy of further exploration.</w:t>
      </w:r>
    </w:p>
    <w:p w14:paraId="1A2B3DD1" w14:textId="77777777" w:rsidR="00A1B2C3" w:rsidRDefault="00A1B2C3">
      <w:pPr>
        <w:spacing w:line="480" w:lineRule="auto"/>
        <w:ind w:firstLine="480"/>
        <w:jc w:val="both"/>
      </w:pPr>
      <w:r w:rsidRPr="00C4D5E6">
        <w:rPr>
          <w:rFonts w:ascii="Times New Roman" w:hAnsi="Times New Roman" w:eastAsia="宋体"/>
          <w:sz w:val="24"/>
          <w:szCs w:val="24"/>
        </w:rPr>
        <w:t xml:space="preserve">The emergence of immunotherapy has changed the traditional treatment modalities of advanced cancers including EC. A multicenter, phase II, proof-of-concept study is ongoing to assess the efficacy and safety of atezolizumab in locally advanced ESCC patients who previously were treated with CCRT ([25]). The KEYNOTE-975 study (under recruitment) is a phase III randomized trial evaluating the efficacy of pembrolizumab in combination with definitive CCRT with fluorouracil and oxaliplatin or cisplatin in patients with locally advanced ESCC, EAC, and Siewert I adenocarcinoma of the gastroesophageal junction. Another ongoing phase III trial, BGB-A317-311, aims to assess the efficacy of tislelizumab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placebo in combination with CCRT and cisplatin and paclitaxel in localized ESCC. Relevant ongoing trials combining immunotherapy with CCRT in non-metastatic EC are represented in </w:t>
      </w: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These investigations provide new leads for the optimal treatment pattern for EC patients.</w:t>
      </w:r>
    </w:p>
    <w:p w14:paraId="1A2B3DD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Selected ongoing RCTs evaluating immunotherapy combined with CCRT and consolidation immunotherapy.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DD3" w14:textId="77777777" w:rsidR="00A1B2C3" w:rsidRDefault="00A1B2C3">
            <w:r w:rsidRPr="00C4D5E6">
              <w:rPr>
                <w:rFonts w:ascii="Times New Roman" w:hAnsi="Times New Roman" w:eastAsia="宋体"/>
                <w:sz w:val="24"/>
                <w:szCs w:val="24"/>
              </w:rPr>
              <w:t xml:space="preserve">NCT number</w:t>
            </w:r>
          </w:p>
        </w:tc>
        <w:tc>
          <w:tcPr>
            <w:tcW w:w="1125" w:type="dxa"/>
          </w:tcPr>
          <w:p w14:paraId="1A2B3DD4" w14:textId="77777777" w:rsidR="00A1B2C3" w:rsidRDefault="00A1B2C3">
            <w:r w:rsidRPr="00C4D5E6">
              <w:rPr>
                <w:rFonts w:ascii="Times New Roman" w:hAnsi="Times New Roman" w:eastAsia="宋体"/>
                <w:sz w:val="24"/>
                <w:szCs w:val="24"/>
              </w:rPr>
              <w:t xml:space="preserve">Country</w:t>
            </w:r>
          </w:p>
        </w:tc>
        <w:tc>
          <w:tcPr>
            <w:tcW w:w="1125" w:type="dxa"/>
          </w:tcPr>
          <w:p w14:paraId="1A2B3DD5" w14:textId="77777777" w:rsidR="00A1B2C3" w:rsidRDefault="00A1B2C3">
            <w:r w:rsidRPr="00C4D5E6">
              <w:rPr>
                <w:rFonts w:ascii="Times New Roman" w:hAnsi="Times New Roman" w:eastAsia="宋体"/>
                <w:sz w:val="24"/>
                <w:szCs w:val="24"/>
              </w:rPr>
              <w:t xml:space="preserve">Phase</w:t>
            </w:r>
          </w:p>
        </w:tc>
        <w:tc>
          <w:tcPr>
            <w:tcW w:w="1125" w:type="dxa"/>
          </w:tcPr>
          <w:p w14:paraId="1A2B3DD6" w14:textId="77777777" w:rsidR="00A1B2C3" w:rsidRDefault="00A1B2C3">
            <w:r w:rsidRPr="00C4D5E6">
              <w:rPr>
                <w:rFonts w:ascii="Times New Roman" w:hAnsi="Times New Roman" w:eastAsia="宋体"/>
                <w:sz w:val="24"/>
                <w:szCs w:val="24"/>
              </w:rPr>
              <w:t xml:space="preserve">Histology</w:t>
            </w:r>
          </w:p>
        </w:tc>
        <w:tc>
          <w:tcPr>
            <w:tcW w:w="1125" w:type="dxa"/>
          </w:tcPr>
          <w:p w14:paraId="1A2B3DD7" w14:textId="77777777" w:rsidR="00A1B2C3" w:rsidRDefault="00A1B2C3">
            <w:r w:rsidRPr="00C4D5E6">
              <w:rPr>
                <w:rFonts w:ascii="Times New Roman" w:hAnsi="Times New Roman" w:eastAsia="宋体"/>
                <w:sz w:val="24"/>
                <w:szCs w:val="24"/>
              </w:rPr>
              <w:t xml:space="preserve">Start date</w:t>
            </w:r>
          </w:p>
        </w:tc>
        <w:tc>
          <w:tcPr>
            <w:tcW w:w="1125" w:type="dxa"/>
          </w:tcPr>
          <w:p w14:paraId="1A2B3DD8" w14:textId="77777777" w:rsidR="00A1B2C3" w:rsidRDefault="00A1B2C3">
            <w:r w:rsidRPr="00C4D5E6">
              <w:rPr>
                <w:rFonts w:ascii="Times New Roman" w:hAnsi="Times New Roman" w:eastAsia="宋体"/>
                <w:sz w:val="24"/>
                <w:szCs w:val="24"/>
              </w:rPr>
              <w:t xml:space="preserve">Estimated completion date</w:t>
            </w:r>
          </w:p>
        </w:tc>
        <w:tc>
          <w:tcPr>
            <w:tcW w:w="1125" w:type="dxa"/>
          </w:tcPr>
          <w:p w14:paraId="1A2B3DD9" w14:textId="77777777" w:rsidR="00A1B2C3" w:rsidRDefault="00A1B2C3">
            <w:r w:rsidRPr="00C4D5E6">
              <w:rPr>
                <w:rFonts w:ascii="Times New Roman" w:hAnsi="Times New Roman" w:eastAsia="宋体"/>
                <w:sz w:val="24"/>
                <w:szCs w:val="24"/>
              </w:rPr>
              <w:t xml:space="preserve">Study treatment</w:t>
            </w:r>
          </w:p>
        </w:tc>
        <w:tc>
          <w:tcPr>
            <w:tcW w:w="1125" w:type="dxa"/>
          </w:tcPr>
          <w:p w14:paraId="1A2B3DDA" w14:textId="77777777" w:rsidR="00A1B2C3" w:rsidRDefault="00A1B2C3">
            <w:r w:rsidRPr="00C4D5E6">
              <w:rPr>
                <w:rFonts w:ascii="Times New Roman" w:hAnsi="Times New Roman" w:eastAsia="宋体"/>
                <w:sz w:val="24"/>
                <w:szCs w:val="24"/>
              </w:rPr>
              <w:t xml:space="preserve">Estimated enrollment</w:t>
            </w:r>
          </w:p>
        </w:tc>
      </w:tr>
      <w:tr>
        <w:tc>
          <w:tcPr>
            <w:tcW w:w="1125" w:type="dxa"/>
          </w:tcPr>
          <w:p w14:paraId="1A2B3DDB" w14:textId="77777777" w:rsidR="00A1B2C3" w:rsidRDefault="00A1B2C3">
            <w:r w:rsidRPr="00C4D5E6">
              <w:rPr>
                <w:rFonts w:ascii="Times New Roman" w:hAnsi="Times New Roman" w:eastAsia="宋体"/>
                <w:sz w:val="24"/>
                <w:szCs w:val="24"/>
              </w:rPr>
              <w:t xml:space="preserve">NCT04426955</w:t>
            </w:r>
          </w:p>
        </w:tc>
        <w:tc>
          <w:tcPr>
            <w:tcW w:w="1125" w:type="dxa"/>
          </w:tcPr>
          <w:p w14:paraId="1A2B3DDC" w14:textId="77777777" w:rsidR="00A1B2C3" w:rsidRDefault="00A1B2C3">
            <w:r w:rsidRPr="00C4D5E6">
              <w:rPr>
                <w:rFonts w:ascii="Times New Roman" w:hAnsi="Times New Roman" w:eastAsia="宋体"/>
                <w:sz w:val="24"/>
                <w:szCs w:val="24"/>
              </w:rPr>
              <w:t xml:space="preserve">China</w:t>
            </w:r>
          </w:p>
        </w:tc>
        <w:tc>
          <w:tcPr>
            <w:tcW w:w="1125" w:type="dxa"/>
          </w:tcPr>
          <w:p w14:paraId="1A2B3DDD" w14:textId="77777777" w:rsidR="00A1B2C3" w:rsidRDefault="00A1B2C3">
            <w:r w:rsidRPr="00C4D5E6">
              <w:rPr>
                <w:rFonts w:ascii="Times New Roman" w:hAnsi="Times New Roman" w:eastAsia="宋体"/>
                <w:sz w:val="24"/>
                <w:szCs w:val="24"/>
              </w:rPr>
              <w:t xml:space="preserve">III</w:t>
            </w:r>
          </w:p>
        </w:tc>
        <w:tc>
          <w:tcPr>
            <w:tcW w:w="1125" w:type="dxa"/>
          </w:tcPr>
          <w:p w14:paraId="1A2B3DDE" w14:textId="77777777" w:rsidR="00A1B2C3" w:rsidRDefault="00A1B2C3">
            <w:r w:rsidRPr="00C4D5E6">
              <w:rPr>
                <w:rFonts w:ascii="Times New Roman" w:hAnsi="Times New Roman" w:eastAsia="宋体"/>
                <w:sz w:val="24"/>
                <w:szCs w:val="24"/>
              </w:rPr>
              <w:t xml:space="preserve">ESCC</w:t>
            </w:r>
          </w:p>
        </w:tc>
        <w:tc>
          <w:tcPr>
            <w:tcW w:w="1125" w:type="dxa"/>
          </w:tcPr>
          <w:p w14:paraId="1A2B3DDF" w14:textId="77777777" w:rsidR="00A1B2C3" w:rsidRDefault="00A1B2C3">
            <w:r w:rsidRPr="00C4D5E6">
              <w:rPr>
                <w:rFonts w:ascii="Times New Roman" w:hAnsi="Times New Roman" w:eastAsia="宋体"/>
                <w:sz w:val="24"/>
                <w:szCs w:val="24"/>
              </w:rPr>
              <w:t xml:space="preserve">2020</w:t>
            </w:r>
          </w:p>
        </w:tc>
        <w:tc>
          <w:tcPr>
            <w:tcW w:w="1125" w:type="dxa"/>
          </w:tcPr>
          <w:p w14:paraId="1A2B3DE0" w14:textId="77777777" w:rsidR="00A1B2C3" w:rsidRDefault="00A1B2C3">
            <w:r w:rsidRPr="00C4D5E6">
              <w:rPr>
                <w:rFonts w:ascii="Times New Roman" w:hAnsi="Times New Roman" w:eastAsia="宋体"/>
                <w:sz w:val="24"/>
                <w:szCs w:val="24"/>
              </w:rPr>
              <w:t xml:space="preserve">2022</w:t>
            </w:r>
          </w:p>
        </w:tc>
        <w:tc>
          <w:tcPr>
            <w:tcW w:w="1125" w:type="dxa"/>
          </w:tcPr>
          <w:p w14:paraId="1A2B3DE1" w14:textId="77777777" w:rsidR="00A1B2C3" w:rsidRDefault="00A1B2C3">
            <w:r w:rsidRPr="00C4D5E6">
              <w:rPr>
                <w:rFonts w:ascii="Times New Roman" w:hAnsi="Times New Roman" w:eastAsia="宋体"/>
                <w:sz w:val="24"/>
                <w:szCs w:val="24"/>
              </w:rPr>
              <w:t xml:space="preserve">CCRT ± concurrent and sequential SHR-1210</w:t>
            </w:r>
          </w:p>
        </w:tc>
        <w:tc>
          <w:tcPr>
            <w:tcW w:w="1125" w:type="dxa"/>
          </w:tcPr>
          <w:p w14:paraId="1A2B3DE2" w14:textId="77777777" w:rsidR="00A1B2C3" w:rsidRDefault="00A1B2C3">
            <w:r w:rsidRPr="00C4D5E6">
              <w:rPr>
                <w:rFonts w:ascii="Times New Roman" w:hAnsi="Times New Roman" w:eastAsia="宋体"/>
                <w:sz w:val="24"/>
                <w:szCs w:val="24"/>
              </w:rPr>
              <w:t xml:space="preserve">390</w:t>
            </w:r>
          </w:p>
        </w:tc>
      </w:tr>
      <w:tr>
        <w:tc>
          <w:tcPr>
            <w:tcW w:w="1125" w:type="dxa"/>
          </w:tcPr>
          <w:p w14:paraId="1A2B3DE3" w14:textId="77777777" w:rsidR="00A1B2C3" w:rsidRDefault="00A1B2C3">
            <w:r w:rsidRPr="00C4D5E6">
              <w:rPr>
                <w:rFonts w:ascii="Times New Roman" w:hAnsi="Times New Roman" w:eastAsia="宋体"/>
                <w:sz w:val="24"/>
                <w:szCs w:val="24"/>
              </w:rPr>
              <w:t xml:space="preserve">NCT03957590</w:t>
            </w:r>
          </w:p>
        </w:tc>
        <w:tc>
          <w:tcPr>
            <w:tcW w:w="1125" w:type="dxa"/>
          </w:tcPr>
          <w:p w14:paraId="1A2B3DE4" w14:textId="77777777" w:rsidR="00A1B2C3" w:rsidRDefault="00A1B2C3">
            <w:r w:rsidRPr="00C4D5E6">
              <w:rPr>
                <w:rFonts w:ascii="Times New Roman" w:hAnsi="Times New Roman" w:eastAsia="宋体"/>
                <w:sz w:val="24"/>
                <w:szCs w:val="24"/>
              </w:rPr>
              <w:t xml:space="preserve">China</w:t>
            </w:r>
          </w:p>
        </w:tc>
        <w:tc>
          <w:tcPr>
            <w:tcW w:w="1125" w:type="dxa"/>
          </w:tcPr>
          <w:p w14:paraId="1A2B3DE5" w14:textId="77777777" w:rsidR="00A1B2C3" w:rsidRDefault="00A1B2C3">
            <w:r w:rsidRPr="00C4D5E6">
              <w:rPr>
                <w:rFonts w:ascii="Times New Roman" w:hAnsi="Times New Roman" w:eastAsia="宋体"/>
                <w:sz w:val="24"/>
                <w:szCs w:val="24"/>
              </w:rPr>
              <w:t xml:space="preserve">III</w:t>
            </w:r>
          </w:p>
        </w:tc>
        <w:tc>
          <w:tcPr>
            <w:tcW w:w="1125" w:type="dxa"/>
          </w:tcPr>
          <w:p w14:paraId="1A2B3DE6" w14:textId="77777777" w:rsidR="00A1B2C3" w:rsidRDefault="00A1B2C3">
            <w:r w:rsidRPr="00C4D5E6">
              <w:rPr>
                <w:rFonts w:ascii="Times New Roman" w:hAnsi="Times New Roman" w:eastAsia="宋体"/>
                <w:sz w:val="24"/>
                <w:szCs w:val="24"/>
              </w:rPr>
              <w:t xml:space="preserve">ESCC</w:t>
            </w:r>
          </w:p>
        </w:tc>
        <w:tc>
          <w:tcPr>
            <w:tcW w:w="1125" w:type="dxa"/>
          </w:tcPr>
          <w:p w14:paraId="1A2B3DE7" w14:textId="77777777" w:rsidR="00A1B2C3" w:rsidRDefault="00A1B2C3">
            <w:r w:rsidRPr="00C4D5E6">
              <w:rPr>
                <w:rFonts w:ascii="Times New Roman" w:hAnsi="Times New Roman" w:eastAsia="宋体"/>
                <w:sz w:val="24"/>
                <w:szCs w:val="24"/>
              </w:rPr>
              <w:t xml:space="preserve">2019</w:t>
            </w:r>
          </w:p>
        </w:tc>
        <w:tc>
          <w:tcPr>
            <w:tcW w:w="1125" w:type="dxa"/>
          </w:tcPr>
          <w:p w14:paraId="1A2B3DE8" w14:textId="77777777" w:rsidR="00A1B2C3" w:rsidRDefault="00A1B2C3">
            <w:r w:rsidRPr="00C4D5E6">
              <w:rPr>
                <w:rFonts w:ascii="Times New Roman" w:hAnsi="Times New Roman" w:eastAsia="宋体"/>
                <w:sz w:val="24"/>
                <w:szCs w:val="24"/>
              </w:rPr>
              <w:t xml:space="preserve">2023</w:t>
            </w:r>
          </w:p>
        </w:tc>
        <w:tc>
          <w:tcPr>
            <w:tcW w:w="1125" w:type="dxa"/>
          </w:tcPr>
          <w:p w14:paraId="1A2B3DE9" w14:textId="77777777" w:rsidR="00A1B2C3" w:rsidRDefault="00A1B2C3">
            <w:r w:rsidRPr="00C4D5E6">
              <w:rPr>
                <w:rFonts w:ascii="Times New Roman" w:hAnsi="Times New Roman" w:eastAsia="宋体"/>
                <w:sz w:val="24"/>
                <w:szCs w:val="24"/>
              </w:rPr>
              <w:t xml:space="preserve">CCRT ± concurrent and sequential tislelizumab</w:t>
            </w:r>
          </w:p>
        </w:tc>
        <w:tc>
          <w:tcPr>
            <w:tcW w:w="1125" w:type="dxa"/>
          </w:tcPr>
          <w:p w14:paraId="1A2B3DEA" w14:textId="77777777" w:rsidR="00A1B2C3" w:rsidRDefault="00A1B2C3">
            <w:r w:rsidRPr="00C4D5E6">
              <w:rPr>
                <w:rFonts w:ascii="Times New Roman" w:hAnsi="Times New Roman" w:eastAsia="宋体"/>
                <w:sz w:val="24"/>
                <w:szCs w:val="24"/>
              </w:rPr>
              <w:t xml:space="preserve">316</w:t>
            </w:r>
          </w:p>
        </w:tc>
      </w:tr>
      <w:tr>
        <w:tc>
          <w:tcPr>
            <w:tcW w:w="1125" w:type="dxa"/>
          </w:tcPr>
          <w:p w14:paraId="1A2B3DEB" w14:textId="77777777" w:rsidR="00A1B2C3" w:rsidRDefault="00A1B2C3">
            <w:r w:rsidRPr="00C4D5E6">
              <w:rPr>
                <w:rFonts w:ascii="Times New Roman" w:hAnsi="Times New Roman" w:eastAsia="宋体"/>
                <w:sz w:val="24"/>
                <w:szCs w:val="24"/>
              </w:rPr>
              <w:t xml:space="preserve">NCT04210115</w:t>
            </w:r>
          </w:p>
        </w:tc>
        <w:tc>
          <w:tcPr>
            <w:tcW w:w="1125" w:type="dxa"/>
          </w:tcPr>
          <w:p w14:paraId="1A2B3DEC" w14:textId="77777777" w:rsidR="00A1B2C3" w:rsidRDefault="00A1B2C3">
            <w:r w:rsidRPr="00C4D5E6">
              <w:rPr>
                <w:rFonts w:ascii="Times New Roman" w:hAnsi="Times New Roman" w:eastAsia="宋体"/>
                <w:sz w:val="24"/>
                <w:szCs w:val="24"/>
              </w:rPr>
              <w:t xml:space="preserve">Global</w:t>
            </w:r>
          </w:p>
        </w:tc>
        <w:tc>
          <w:tcPr>
            <w:tcW w:w="1125" w:type="dxa"/>
          </w:tcPr>
          <w:p w14:paraId="1A2B3DED" w14:textId="77777777" w:rsidR="00A1B2C3" w:rsidRDefault="00A1B2C3">
            <w:r w:rsidRPr="00C4D5E6">
              <w:rPr>
                <w:rFonts w:ascii="Times New Roman" w:hAnsi="Times New Roman" w:eastAsia="宋体"/>
                <w:sz w:val="24"/>
                <w:szCs w:val="24"/>
              </w:rPr>
              <w:t xml:space="preserve">III</w:t>
            </w:r>
          </w:p>
        </w:tc>
        <w:tc>
          <w:tcPr>
            <w:tcW w:w="1125" w:type="dxa"/>
          </w:tcPr>
          <w:p w14:paraId="1A2B3DEE" w14:textId="77777777" w:rsidR="00A1B2C3" w:rsidRDefault="00A1B2C3">
            <w:r w:rsidRPr="00C4D5E6">
              <w:rPr>
                <w:rFonts w:ascii="Times New Roman" w:hAnsi="Times New Roman" w:eastAsia="宋体"/>
                <w:sz w:val="24"/>
                <w:szCs w:val="24"/>
              </w:rPr>
              <w:t xml:space="preserve">ESCC, EAC</w:t>
            </w:r>
          </w:p>
        </w:tc>
        <w:tc>
          <w:tcPr>
            <w:tcW w:w="1125" w:type="dxa"/>
          </w:tcPr>
          <w:p w14:paraId="1A2B3DEF" w14:textId="77777777" w:rsidR="00A1B2C3" w:rsidRDefault="00A1B2C3">
            <w:r w:rsidRPr="00C4D5E6">
              <w:rPr>
                <w:rFonts w:ascii="Times New Roman" w:hAnsi="Times New Roman" w:eastAsia="宋体"/>
                <w:sz w:val="24"/>
                <w:szCs w:val="24"/>
              </w:rPr>
              <w:t xml:space="preserve">2020</w:t>
            </w:r>
          </w:p>
        </w:tc>
        <w:tc>
          <w:tcPr>
            <w:tcW w:w="1125" w:type="dxa"/>
          </w:tcPr>
          <w:p w14:paraId="1A2B3DF0" w14:textId="77777777" w:rsidR="00A1B2C3" w:rsidRDefault="00A1B2C3">
            <w:r w:rsidRPr="00C4D5E6">
              <w:rPr>
                <w:rFonts w:ascii="Times New Roman" w:hAnsi="Times New Roman" w:eastAsia="宋体"/>
                <w:sz w:val="24"/>
                <w:szCs w:val="24"/>
              </w:rPr>
              <w:t xml:space="preserve">2026</w:t>
            </w:r>
          </w:p>
        </w:tc>
        <w:tc>
          <w:tcPr>
            <w:tcW w:w="1125" w:type="dxa"/>
          </w:tcPr>
          <w:p w14:paraId="1A2B3DF1" w14:textId="77777777" w:rsidR="00A1B2C3" w:rsidRDefault="00A1B2C3">
            <w:r w:rsidRPr="00C4D5E6">
              <w:rPr>
                <w:rFonts w:ascii="Times New Roman" w:hAnsi="Times New Roman" w:eastAsia="宋体"/>
                <w:sz w:val="24"/>
                <w:szCs w:val="24"/>
              </w:rPr>
              <w:t xml:space="preserve">CCRT ± concurrent and sequential pembrolizumab</w:t>
            </w:r>
          </w:p>
        </w:tc>
        <w:tc>
          <w:tcPr>
            <w:tcW w:w="1125" w:type="dxa"/>
          </w:tcPr>
          <w:p w14:paraId="1A2B3DF2" w14:textId="77777777" w:rsidR="00A1B2C3" w:rsidRDefault="00A1B2C3">
            <w:r w:rsidRPr="00C4D5E6">
              <w:rPr>
                <w:rFonts w:ascii="Times New Roman" w:hAnsi="Times New Roman" w:eastAsia="宋体"/>
                <w:sz w:val="24"/>
                <w:szCs w:val="24"/>
              </w:rPr>
              <w:t xml:space="preserve">600</w:t>
            </w:r>
          </w:p>
        </w:tc>
      </w:tr>
      <w:tr>
        <w:tc>
          <w:tcPr>
            <w:tcW w:w="1125" w:type="dxa"/>
          </w:tcPr>
          <w:p w14:paraId="1A2B3DF3" w14:textId="77777777" w:rsidR="00A1B2C3" w:rsidRDefault="00A1B2C3">
            <w:r w:rsidRPr="00C4D5E6">
              <w:rPr>
                <w:rFonts w:ascii="Times New Roman" w:hAnsi="Times New Roman" w:eastAsia="宋体"/>
                <w:sz w:val="24"/>
                <w:szCs w:val="24"/>
              </w:rPr>
              <w:t xml:space="preserve">NCT04550260</w:t>
            </w:r>
          </w:p>
        </w:tc>
        <w:tc>
          <w:tcPr>
            <w:tcW w:w="1125" w:type="dxa"/>
          </w:tcPr>
          <w:p w14:paraId="1A2B3DF4" w14:textId="77777777" w:rsidR="00A1B2C3" w:rsidRDefault="00A1B2C3">
            <w:r w:rsidRPr="00C4D5E6">
              <w:rPr>
                <w:rFonts w:ascii="Times New Roman" w:hAnsi="Times New Roman" w:eastAsia="宋体"/>
                <w:sz w:val="24"/>
                <w:szCs w:val="24"/>
              </w:rPr>
              <w:t xml:space="preserve">US</w:t>
            </w:r>
          </w:p>
        </w:tc>
        <w:tc>
          <w:tcPr>
            <w:tcW w:w="1125" w:type="dxa"/>
          </w:tcPr>
          <w:p w14:paraId="1A2B3DF5" w14:textId="77777777" w:rsidR="00A1B2C3" w:rsidRDefault="00A1B2C3">
            <w:r w:rsidRPr="00C4D5E6">
              <w:rPr>
                <w:rFonts w:ascii="Times New Roman" w:hAnsi="Times New Roman" w:eastAsia="宋体"/>
                <w:sz w:val="24"/>
                <w:szCs w:val="24"/>
              </w:rPr>
              <w:t xml:space="preserve">III</w:t>
            </w:r>
          </w:p>
        </w:tc>
        <w:tc>
          <w:tcPr>
            <w:tcW w:w="1125" w:type="dxa"/>
          </w:tcPr>
          <w:p w14:paraId="1A2B3DF6" w14:textId="77777777" w:rsidR="00A1B2C3" w:rsidRDefault="00A1B2C3">
            <w:r w:rsidRPr="00C4D5E6">
              <w:rPr>
                <w:rFonts w:ascii="Times New Roman" w:hAnsi="Times New Roman" w:eastAsia="宋体"/>
                <w:sz w:val="24"/>
                <w:szCs w:val="24"/>
              </w:rPr>
              <w:t xml:space="preserve">ESCC</w:t>
            </w:r>
          </w:p>
        </w:tc>
        <w:tc>
          <w:tcPr>
            <w:tcW w:w="1125" w:type="dxa"/>
          </w:tcPr>
          <w:p w14:paraId="1A2B3DF7" w14:textId="77777777" w:rsidR="00A1B2C3" w:rsidRDefault="00A1B2C3">
            <w:r w:rsidRPr="00C4D5E6">
              <w:rPr>
                <w:rFonts w:ascii="Times New Roman" w:hAnsi="Times New Roman" w:eastAsia="宋体"/>
                <w:sz w:val="24"/>
                <w:szCs w:val="24"/>
              </w:rPr>
              <w:t xml:space="preserve">2020</w:t>
            </w:r>
          </w:p>
        </w:tc>
        <w:tc>
          <w:tcPr>
            <w:tcW w:w="1125" w:type="dxa"/>
          </w:tcPr>
          <w:p w14:paraId="1A2B3DF8" w14:textId="77777777" w:rsidR="00A1B2C3" w:rsidRDefault="00A1B2C3">
            <w:r w:rsidRPr="00C4D5E6">
              <w:rPr>
                <w:rFonts w:ascii="Times New Roman" w:hAnsi="Times New Roman" w:eastAsia="宋体"/>
                <w:sz w:val="24"/>
                <w:szCs w:val="24"/>
              </w:rPr>
              <w:t xml:space="preserve">2025</w:t>
            </w:r>
          </w:p>
        </w:tc>
        <w:tc>
          <w:tcPr>
            <w:tcW w:w="1125" w:type="dxa"/>
          </w:tcPr>
          <w:p w14:paraId="1A2B3DF9" w14:textId="77777777" w:rsidR="00A1B2C3" w:rsidRDefault="00A1B2C3">
            <w:r w:rsidRPr="00C4D5E6">
              <w:rPr>
                <w:rFonts w:ascii="Times New Roman" w:hAnsi="Times New Roman" w:eastAsia="宋体"/>
                <w:sz w:val="24"/>
                <w:szCs w:val="24"/>
              </w:rPr>
              <w:t xml:space="preserve">CCRT ± concurrent and sequential durvalumab</w:t>
            </w:r>
          </w:p>
        </w:tc>
        <w:tc>
          <w:tcPr>
            <w:tcW w:w="1125" w:type="dxa"/>
          </w:tcPr>
          <w:p w14:paraId="1A2B3DFA" w14:textId="77777777" w:rsidR="00A1B2C3" w:rsidRDefault="00A1B2C3">
            <w:r w:rsidRPr="00C4D5E6">
              <w:rPr>
                <w:rFonts w:ascii="Times New Roman" w:hAnsi="Times New Roman" w:eastAsia="宋体"/>
                <w:sz w:val="24"/>
                <w:szCs w:val="24"/>
              </w:rPr>
              <w:t xml:space="preserve">600</w:t>
            </w:r>
          </w:p>
        </w:tc>
      </w:tr>
    </w:tbl>
    <w:p w14:paraId="1A2B3DFB" w14:textId="77777777" w:rsidR="00A1B2C3" w:rsidRDefault="00A1B2C3">
      <w:pPr>
        <w:spacing w:line="480" w:lineRule="auto"/>
        <w:ind w:firstLine="480"/>
        <w:jc w:val="both"/>
      </w:pPr>
      <w:r w:rsidRPr="00C4D5E6">
        <w:rPr>
          <w:i/>
          <w:rFonts w:ascii="Times New Roman" w:hAnsi="Times New Roman" w:eastAsia="宋体"/>
          <w:sz w:val="24"/>
          <w:szCs w:val="24"/>
        </w:rPr>
        <w:t xml:space="preserve">CCRT, concurrent chemoradiotherapy; EAC, esophageal adenocarcinoma; ESCC, esophageal squamous cell carcinoma; RCT, randomized controlled trial.</w:t>
      </w:r>
    </w:p>
    <w:p w14:paraId="1A2B3DFC"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had some limitations. Firstly, as these studies were searched among published articles written in English, and statistical analysis was limited to the published data, language bias may exist. Secondly, nine of 10 included studies were retrospective studies, with the one prospective randomized study only including 110 cases. It was a pity that no randomized trial and prospective study with large cases has been published yet. Thirdly, we failed to perform subgroup analyses based on tumor stage, chemotherapy regimens, and radiation doses. As is well known, clinical stage is an independent prognostic factor. In our meta-analysis, approximately 10%–16% of the EC patients with stage I and stage IV were involved; although this factor of staging seems to be controlled and well balanced between the two groups in the original studies, this confounding factor still remains to be controlled in future studies. By far, there is still no consensus reached whether chemotherapy regimens influenced survival for EC patients with definitive concurrent chemoradiotherapy (dCRT) or not ([26], [27]); nevertheless, chemotherapy regimen and cycles of IC, CCT, and CCRT were inconsistent in our meta-analysis, which might have some potential impact on the result. Besides, we conducted sensitivity analysis in order to explore heterogeneity of dose delivery; after deleting each article in turn and reanalyzing the remaining research, the new results were consistent with the original results. In addition, the recently published randomized studies ([28], [29]) showed that no differences in OS were observed between 50 and 60 Gy.</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study revealed that additional IC or CCT with CCRT could prolong short-term survival in unresectable EC patients. Besides, the addition of CCT could significantly reduce the risk of distant metastases. As all patients were diagnosed with ESCC in the CCT-relevant studies, whether the conclusion of CCT was also applicable to patients with EAC requires further verification.</w:t>
      </w:r>
    </w:p>
    <w:p w14:paraId="1A2B3DFE" w14:textId="77777777" w:rsidR="00A1B2C3" w:rsidRDefault="00A1B2C3">
      <w:pPr>
        <w:pStyle w:val="Heading2"/>
      </w:pPr>
      <w:r w:rsidRPr="00C4D5E6">
        <w:rPr>
          <w:rFonts w:ascii="Times New Roman" w:hAnsi="Times New Roman" w:eastAsia="宋体"/>
          <w:sz w:val="24"/>
          <w:szCs w:val="24"/>
        </w:rPr>
        <w:t xml:space="preserve">Publisher’s Note</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Radiation Therapy Oncology Group. JAMA (1999) 281:1623–7. doi: 10.1001/jama.281.17.1623</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Pennathur A, Gibson MK, Jobe BA, Luketich JD. Oesophageal Carcinoma. Lancet (2013) 381:400–12. doi: 10.1016/S0140-6736(12)60643-6</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Shioyama Y, Nakamura K, Ohga S, Nomoto S, Sasaki T, Yamaguchi T, et al. Radiation Therapy for Recurrent Esophageal Cancer After Surgery: Clinical Results and Prognostic Factors. Jpn J Clin Oncol (2007) 37:918–23. doi: 10.1093/jjco/hym138</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Hui EP, Ma BB, Leung SF, King AD, Mo F, Kam MK, et al. Randomized Phase II Trial of Concurrent Cisplatin-Radiotherapy With or Without Neoadjuvant Docetaxel and Cisplatin in Advanced Nasopharyngeal Carcinoma. J Clin Oncol (2009) 27:242–9. doi: 10.1200/JCO.2008.18.1545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Byfield JE, Barone R, Mendelsohn J, Frankel S, Quinol L, Sharp T, et al. Infusional 5-Fluorouracil and X-Ray Therapy for Non-Resectable Esophageal Cancer. Cancer (1980) 45:703–8. doi: 10.1002/1097-0142(19800215)45:4&lt;703::aid-cncr2820450415&gt;3.0.co;2-q</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MQ, Lin QL, Chen YG, Guo JH, Xu BH, Tian Y. Neoadjuvant Chemotherapy May Not Benefit Esophageal Squamous Cell Carcinoma Patients Treated With Definitive Chemoradiotherapy. J Chin Med Assoc (2017) 80:636–43. doi: 10.1016/j.jcma.2017.06.014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Grossi F, Aita M, Follador A, Defferrari C, Brianti A, Sinaccio G, et al. Sequential, Alternating, and Maintenance/Consolidation Chemotherapy in Advanced Non-Small Cell Lung Cancer: A Review of the Literature. Oncologist (2007) 12:451–64. doi: 10.1634/theoncologist.12-4-451</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Ahn JS, Ahn YC, Kim JH, Lee CG, Cho EK, Lee KC, et al. Multinational Randomized Phase III Trial With or Without Consolidation Chemotherapy Using Docetaxel and Cisplatin After Concurrent Chemoradiation in Inoperable Stage III Non-Small-Cell Lung Cancer: KCSG-LU05-04. J Clin Oncol (2015) 33:2660–6. doi: 10.1200/JCO.2014.60.0130</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Skrzypski M, Jassem J. Consolidation Systemic Treatment After Radiochemotherapy for Unresectable Stage III Non-Small Cell Lung Cancer. Cancer Treat Rev (2018) 66:114–21. doi: 10.1016/j.ctrv.2018.04.001</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Tsujino K, Kurata T, Yamamoto S, Kawaguchi T, Kubo A, Isa S, et al. Is Consolidation Chemotherapy After Concurrent Chemo-Radiotherapy Beneficial for Patients With Locally Advanced Non-Small-Cell Lung Cancer? A Pooled Analysis of the Literature. J Thorac Oncol (2013) 8:1181–9. doi: 10.1097/JTO.0b013e3182988348</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Moher D, Liberati A, Tetzlaff J, Altman DG, PRISMA Group . Preferred Reporting Items for Systematic Reviews and Meta-Analyses: The PRISMA Statement. PloS Med (2009) 6:e1000097. doi: 10.1371/journal.pmed.1000097</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Luo LL, Xi M, Yang YD, Li QQ, Zhao L, Zhang P, et al. Comparative Outcomes of Induction Chemotherapy Followed by Definitive Chemoradiotherapy Versus Chemoradiotherapy in Esophageal Squamous Cell Carcinoma. J Cancer. (2017) 8:3441–7. doi: 10.7150/jca.21131</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 M, Liao Z, Deng W, Komaki R, Ho L, Lin SH. Recursive Partitioning Analysis Identifies Pretreatment Risk Groups for the Utility of Induction Chemotherapy Before Definitive Chemoradiation Therapy in Esophageal Cancer. Int J Radiat Oncol Biol Phys (2017) 99:407–16. doi: 10.1016/j.ijrobp.2017.05.050</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S, Luo L, Zhao L, Zhu Y, Liu H, Li Q, et al. Induction Chemotherapy Followed by Definitive Chemoradiotherapy Versus Chemoradiotherapy Alone in Esophageal Squamous Cell Carcinoma: A Randomized Phase II Trial. Nat Commun (2021) 12(1):4014. doi: 10.1038/s41467-021-24288-1</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Li XY, Xu HY, Xu QN, Luo HS, Du ZS, et al. Effect of Consolidation Chemotherapy Following Definitive Chemoradiotherapy in Patients With Esophageal Squamous Cell Cancer. Sci Rep (2017) 7:16870. doi: 10.1038/s41598-017-17254-9</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Guo L, Cheng X, Wang J, Zhang Y, Wang Y, et al. With or Without Consolidation Chemotherapy Using Cisplatin/5-FU After Concurrent Chemoradiotherapy in Stage II-III Squamous Cell Carcinoma of the Esophagus: A Propensity Score-Matched Analysis. Radiother Oncol (2018) 129:154–60. doi: 10.1016/j.radonc.2017.10.031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 Shen M, Lin Y, Liu P, Liu X, Li X, et al. Adjuvant Chemotherapy Does Not Benefit Patients With Esophageal Squamous Cell Carcinoma Treated With Definitive Chemoradiotherapy. Radiat Oncol (2018) 13:150. doi: 10.1186/s13014-018-1086-y</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H, Zhou L, Yang Y, Yang L, Chen L. Clinical Effect of Radiotherapy Combined With Chemotherapy for Non-Surgical Treatment of the Esophageal Squamous Cell Carcinoma. Med Sci Monit (2018) 24:4183–91. doi: 10.12659/MSM.910326</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Koh HK, Park Y, Koo T, Park HJ, Lee MY, Chang AR, et al. Adjuvant Chemotherapy and Dose Escalation in Definitive Concurrent Chemoradiotherapy for Esophageal Squamous Cell Carcinoma. Anticancer Res (2020) 40:1771–8. doi: 10.21873/anticanres.14131</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AD, Su XH, Shi GF, Han C, Wang L, Liu H, et al. Survival Comparision of Three-Dimensional Radiotherapy Alone vs. Chemoradiotherapy for Esophageal Squamous Cell Carcinoma. Arch Med Res (2020) 51(5):419–28. doi: 10.1016/j.arcmed.2020.04.013</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SL, Hsu FM, Tsai CL, Lee JM, Huang PM, Hsu CH, et al. Improved Prognosis With Induction Chemotherapy in Pathological Complete Responders After Trimodality Treatment for Esophageal Squamous Cell Carcinoma: Hypothesis Generating for Adjuvant Treatment. Eur J Surg Oncol (2019) 45:1498–504. doi: 10.1016/j.ejso.2019.03.020</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Yoon HH, Ou FS, Soori GS, Shi Q, Wigle DA, Sticca RP, et al. Induction Versus No Induction Chemotherapy Before Neoadjuvant Chemoradiotherapy and Surgery in Oesophageal Adenocarcinoma: A Multicentrerandomised Phase II Trial (NCCTG N0849 [Alliance]). Eur J Cancer (2021) 150:214–23. doi: 10.1016/j.ejca.2021.03.025</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Greally M, Chou JF, Molena D, Rusch VW, Bains MS, Park BJ, et al. Positron-Emission Tomography Scan-Directed Chemoradiation for Esophageal Squamous Cell Carcinoma: No Benefit for a Change in Chemotherapy in Positron-Emission Tomography Nonresponders. J Thorac Oncol (2019) 14(3):540–6. doi: 10.1016/j.jtho.2018.10.152</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DE, Kim UJ, Choi WY, Kim MY, Kim SH, Kim MJ, et al. Clinical Prognostic Factors for Locally Advanced Esophageal Squamous Carcinoma Treated After Definitive Chemoradiotherapy. Cancer Res Treat (2013) 45:276–84. doi: 10.4143/crt.2013.45.4.276</w:t>
      </w:r>
    </w:p>
    <w:p w14:paraId="1A2B3E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Bando H, Kotani D, Tsushima T, Hara H, Kadowaki S, Kato K. TENERGY: Multicenter Phase II Study of Atezolizumab Monotherapy Following Definitive Chemoradiotherapy With 5-FU Plus Cisplatin in Patients With Unresectable Locally Advanced Esophageal Squamous Cell Carcinoma. BMC Cancer (2020) 20:336. doi: 10.1186/s12885-020-06716-5</w:t>
      </w:r>
    </w:p>
    <w:p w14:paraId="1A2B3E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et al. Definitive Chemoradiotherapy With FOLFOX Versus Fluorouracil and Cisplatin in Patients With Oesophageal Cancer (PRODIGE5/ACCORD17): Final Results of a Randomised, Phase 2/3 Trial. Lancet Oncol (2014) 15(3):305–14. doi: 10.1016/S1470-2045(14)70028-2</w:t>
      </w:r>
    </w:p>
    <w:p w14:paraId="1A2B3E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et al. Comparing Paclitaxel Plus Fluorouracil Versus Cisplatin Plus Fluorouracil in Chemoradiotherapy for Locally Advanced Esophageal Squamous Cell Cancer: A Randomized, Multicenter, Phase III Clinical Trial. J Clin Oncol (2019) 37(20):1695–703. doi: 10.1200/JCO.18.02122</w:t>
      </w:r>
    </w:p>
    <w:p w14:paraId="1A2B3E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Oppedijk V, Buijsen J, Neelis KJ, et al. Randomized Study on Dose Escalation in Definitive Chemoradiation for Patients With Locally Advanced Esophageal Cancer (ARTDECO Study). J Clin Oncol (2021) 39(25):2816–24. doi: 10.1200/JCO.20.03697</w:t>
      </w:r>
    </w:p>
    <w:p w14:paraId="1A2B3E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Xu Y, Zhu W, Zhongxing L, Kong Y, Wang W, Li J, et al. A Multicenter Randomized Prospective Study of Concurrent Chemoradiation With 60 Gy Versus 50 Gy for Inoperable Esophageal Squamous Cell Carcinoma (in Chinese). Natl Med J China (2020) 100(23):1783–8. doi: 10.3760/cma.j.cn112137-20200303-00574</w:t>
      </w:r>
    </w:p>
    <w:p>
      <w:pPr>
        <w:pStyle w:val="Heading1"/>
      </w:pPr>
      <w:r>
        <w:t>参考文献</w:t>
      </w:r>
    </w:p>
    <w:p>
      <w:pPr>
        <w:ind w:left="440" w:hanging="440"/>
      </w:pPr>
      <w:r>
        <w:t xml:space="preserve">[1] Chen Y, Guo L, Cheng X, et al. With or without consolidation chemotherapy using cisplatin/5-FU after concurrent chemoradiotherapy in stage II–III squamous cell carcinoma of the esophagus: A propensity score-matched analysis. Radiotherapy and Oncology. 2018;129(1):154-160. doi:10.1016/j.radonc.2017.10.031</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