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Pr>
          <w:rFonts w:ascii="Times New Roman" w:hAnsi="Times New Roman" w:eastAsia="宋体"/>
          <w:sz w:val="24"/>
          <w:szCs w:val="24"/>
        </w:rPr>
        <w:t xml:space="preserve">This meta-analysis assessed whether adding induction (IC) or consolidation chemotherapy (CCT) to definitive concurrent chemoradiotherapy (CCRT) improves outcomes in unresectable esophageal cancer (EC). The results showed that the additional IC or CCT may be an important factor affecting short-term survival but not long-term survival. To the best of our knowledge, this is the first meta-analysis to discuss the efficacy of IC in patients with unresectable EC treated with CCRT (see Supplementary Table S2, S3, S4).</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