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Pr>
          <w:rFonts w:ascii="Times New Roman" w:hAnsi="Times New Roman" w:eastAsia="宋体"/>
          <w:b/>
          <w:sz w:val="24"/>
          <w:szCs w:val="24"/>
        </w:rPr>
        <w:t xml:space="preserve">Figure 2</w:t>
      </w:r>
      <w:r>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Pr>
          <w:rFonts w:ascii="Times New Roman" w:hAnsi="Times New Roman" w:eastAsia="宋体"/>
          <w:b/>
          <w:sz w:val="24"/>
          <w:szCs w:val="24"/>
        </w:rPr>
        <w:t xml:space="preserve">Figure 2</w:t>
      </w:r>
      <w:r>
        <w:rPr>
          <w:rFonts w:ascii="Times New Roman" w:hAnsi="Times New Roman" w:eastAsia="宋体"/>
          <w:sz w:val="24"/>
          <w:szCs w:val="24"/>
        </w:rPr>
        <w:t xml:space="preserve">) and 3-year OS rate (HR 1.065, 95% CI 0.789–1.439; P = 0.680; </w:t>
      </w:r>
      <w:r>
        <w:rPr>
          <w:rFonts w:ascii="Times New Roman" w:hAnsi="Times New Roman" w:eastAsia="宋体"/>
          <w:b/>
          <w:sz w:val="24"/>
          <w:szCs w:val="24"/>
        </w:rPr>
        <w:t xml:space="preserve">Figure 2</w:t>
      </w:r>
      <w:r>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Pr>
          <w:rFonts w:ascii="Times New Roman" w:hAnsi="Times New Roman" w:eastAsia="宋体"/>
          <w:sz w:val="24"/>
          <w:szCs w:val="24"/>
        </w:rPr>
        <w:t xml:space="preserve">CCRT-CCT group had a significant advantage over the CCRT group in 1-year OS rate (HR 0.542, 95% CI 0.410–0.716; P &lt; 0.001; </w:t>
      </w:r>
      <w:r>
        <w:rPr>
          <w:rFonts w:ascii="Times New Roman" w:hAnsi="Times New Roman" w:eastAsia="宋体"/>
          <w:b/>
          <w:sz w:val="24"/>
          <w:szCs w:val="24"/>
        </w:rPr>
        <w:t xml:space="preserve">Figure 3</w:t>
      </w:r>
      <w:r>
        <w:rPr>
          <w:rFonts w:ascii="Times New Roman" w:hAnsi="Times New Roman" w:eastAsia="宋体"/>
          <w:sz w:val="24"/>
          <w:szCs w:val="24"/>
        </w:rPr>
        <w:t xml:space="preserve">) and 3-year OS rate (HR 0.786, 95% CI 0.625–0.987; P = 0.039; </w:t>
      </w:r>
      <w:r>
        <w:rPr>
          <w:rFonts w:ascii="Times New Roman" w:hAnsi="Times New Roman" w:eastAsia="宋体"/>
          <w:b/>
          <w:sz w:val="24"/>
          <w:szCs w:val="24"/>
        </w:rPr>
        <w:t xml:space="preserve">Figure 3</w:t>
      </w:r>
      <w:r>
        <w:rPr>
          <w:rFonts w:ascii="Times New Roman" w:hAnsi="Times New Roman" w:eastAsia="宋体"/>
          <w:sz w:val="24"/>
          <w:szCs w:val="24"/>
        </w:rPr>
        <w:t xml:space="preserve">). The CCRT-CCT group had lower DMR (OR 1.562, 95% CI 1.090–2.240; P = 0.015; </w:t>
      </w:r>
      <w:r>
        <w:rPr>
          <w:rFonts w:ascii="Times New Roman" w:hAnsi="Times New Roman" w:eastAsia="宋体"/>
          <w:b/>
          <w:sz w:val="24"/>
          <w:szCs w:val="24"/>
        </w:rPr>
        <w:t xml:space="preserve">Figure 4</w:t>
      </w:r>
      <w:r>
        <w:rPr>
          <w:rFonts w:ascii="Times New Roman" w:hAnsi="Times New Roman" w:eastAsia="宋体"/>
          <w:sz w:val="24"/>
          <w:szCs w:val="24"/>
        </w:rPr>
        <w:t xml:space="preserve">). However, no differences were seen between the two groups in 2-year OS rate (HR 0.783, 95% CI 0.600–1.022; P = 0.072; </w:t>
      </w:r>
      <w:r>
        <w:rPr>
          <w:rFonts w:ascii="Times New Roman" w:hAnsi="Times New Roman" w:eastAsia="宋体"/>
          <w:b/>
          <w:sz w:val="24"/>
          <w:szCs w:val="24"/>
        </w:rPr>
        <w:t xml:space="preserve">Figure 3</w:t>
      </w:r>
      <w:r>
        <w:rPr>
          <w:rFonts w:ascii="Times New Roman" w:hAnsi="Times New Roman" w:eastAsia="宋体"/>
          <w:sz w:val="24"/>
          <w:szCs w:val="24"/>
        </w:rPr>
        <w:t xml:space="preserve">), 5-year OS rate (HR 0.923, 95% CI 0.706–1.205; P = 0.555; </w:t>
      </w:r>
      <w:r>
        <w:rPr>
          <w:rFonts w:ascii="Times New Roman" w:hAnsi="Times New Roman" w:eastAsia="宋体"/>
          <w:b/>
          <w:sz w:val="24"/>
          <w:szCs w:val="24"/>
        </w:rPr>
        <w:t xml:space="preserve">Figure 3</w:t>
      </w:r>
      <w:r>
        <w:rPr>
          <w:rFonts w:ascii="Times New Roman" w:hAnsi="Times New Roman" w:eastAsia="宋体"/>
          <w:sz w:val="24"/>
          <w:szCs w:val="24"/>
        </w:rPr>
        <w:t xml:space="preserve">), and LRR (OR 0.899, 95% CI 0.686–1.179; P = 0.441; </w:t>
      </w:r>
      <w:r>
        <w:rPr>
          <w:rFonts w:ascii="Times New Roman" w:hAnsi="Times New Roman" w:eastAsia="宋体"/>
          <w:b/>
          <w:sz w:val="24"/>
          <w:szCs w:val="24"/>
        </w:rPr>
        <w:t xml:space="preserve">Figure 4</w:t>
      </w:r>
      <w:r>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Pr>
          <w:rFonts w:ascii="Times New Roman" w:hAnsi="Times New Roman" w:eastAsia="宋体"/>
          <w:b/>
          <w:sz w:val="24"/>
          <w:szCs w:val="24"/>
        </w:rPr>
        <w:t xml:space="preserve">Figures 5</w:t>
      </w:r>
      <w:r>
        <w:rPr>
          <w:rFonts w:ascii="Times New Roman" w:hAnsi="Times New Roman" w:eastAsia="宋体"/>
          <w:sz w:val="24"/>
          <w:szCs w:val="24"/>
        </w:rPr>
        <w:t xml:space="preserve">, </w:t>
      </w:r>
      <w:r>
        <w:rPr>
          <w:rFonts w:ascii="Times New Roman" w:hAnsi="Times New Roman" w:eastAsia="宋体"/>
          <w:b/>
          <w:sz w:val="24"/>
          <w:szCs w:val="24"/>
        </w:rPr>
        <w:t xml:space="preserve">6</w:t>
      </w:r>
      <w:r>
        <w:rPr>
          <w:rFonts w:ascii="Times New Roman" w:hAnsi="Times New Roman" w:eastAsia="宋体"/>
          <w:sz w:val="24"/>
          <w:szCs w:val="24"/>
        </w:rPr>
        <w:t xml:space="preserve"> and </w:t>
      </w:r>
      <w:r>
        <w:rPr>
          <w:rFonts w:ascii="Times New Roman" w:hAnsi="Times New Roman" w:eastAsia="宋体"/>
          <w:b/>
          <w:sz w:val="24"/>
          <w:szCs w:val="24"/>
        </w:rPr>
        <w:t xml:space="preserve">Tables 5</w:t>
      </w:r>
      <w:r>
        <w:rPr>
          <w:rFonts w:ascii="Times New Roman" w:hAnsi="Times New Roman" w:eastAsia="宋体"/>
          <w:sz w:val="24"/>
          <w:szCs w:val="24"/>
        </w:rPr>
        <w:t xml:space="preserve">, </w:t>
      </w:r>
      <w:r>
        <w:rPr>
          <w:rFonts w:ascii="Times New Roman" w:hAnsi="Times New Roman" w:eastAsia="宋体"/>
          <w:b/>
          <w:sz w:val="24"/>
          <w:szCs w:val="24"/>
        </w:rPr>
        <w:t xml:space="preserve">6</w:t>
      </w:r>
      <w:r>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