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Pr>
          <w:rFonts w:ascii="Times New Roman" w:hAnsi="Times New Roman" w:eastAsia="宋体"/>
          <w:sz w:val="24"/>
          <w:szCs w:val="24"/>
        </w:rPr>
        <w:t xml:space="preserve">In the present study, intention-to-treat analysis demonstrated an improvement in OS in the CRTCT group, and sensitivity analyses consistently confirmed this survival benefit. Moreover, the incidence of severe toxic effects in the CRTCT group was not significantly higher than that in the RT group. Consistent with these findings, a 2021 phase III randomized clinical trial by Ji et al[8] reported that definitive RT with concurrent S-1 conferred a significant survival advantage over RT alone in older patients (2-year OS, 53.2% vs 35.8%; </w:t>
      </w:r>
      <w:r>
        <w:rPr>
          <w:rFonts w:ascii="Times New Roman" w:hAnsi="Times New Roman" w:eastAsia="宋体"/>
          <w:i/>
          <w:sz w:val="24"/>
          <w:szCs w:val="24"/>
        </w:rPr>
        <w:t xml:space="preserve">P</w:t>
      </w:r>
      <w:r>
        <w:rPr>
          <w:rFonts w:ascii="Times New Roman" w:hAnsi="Times New Roman" w:eastAsia="宋体"/>
          <w:sz w:val="24"/>
          <w:szCs w:val="24"/>
        </w:rPr>
        <w:t xml:space="preserve"> = .002). In that trial,[8] 2-year OS among patients receiving RT with concurrent S-1 was comparable to that of patients who completed concurrent chemotherapy in our study (53.2% vs 54.3%), and lower than that reported for patients treated with RT plus single-agent or double-agent intravenous chemotherapy in a 2019 multicenter retrospective study (59.0% and 57.0%, respectively).[17] Consolidation therapy after RT may therefore represent a potential strategy for reducing the risk of disease recurrence and death in selected patients.[18],[19] In addition, subgroup analysis in our study suggested that patients with T3-4 or N1 disease were more likely to derive benefit from CRTCT. Thus, for older patients with locally advanced disease, treatment intensification by adding S-1 chemotherapy to SIB-RT may yield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