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P = 0.02; Breslow P = 0.03; Tarone-Ware P = 0.03) (Figure 2A). The median (IQR) PFS was 19.5 (12.8-26.2) months in the CRTCT group and 11.1 (6.7-15.4) months in the RT group. The PFS rates in the CRTCT group and RT group were 60.8% vs 49.3% at 1 year, 45.4% vs 37.0% at 2 years, and 37.3% vs 27.9% at 3 years (HR, 0.76; 95% CI, 0.58-0.98; log-rank P = 0.04; Breslow P = 0.03; Tarone-Ware P = 0.03)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P = 0.03) (Figure 2C). The median (IQR) PFS was 19.5 (15.9-30.0) months in the CRTCT group and 11.3 (9.3-18.4) months in the RT group (HR, 0.76; 95% CI, 0.58-0.99; weighted log-rank P = 0.04) (Figure 2D).</w:t>
      </w:r>
    </w:p>
    <w:p w14:paraId="1A2B3D05" w14:textId="77777777" w:rsidR="00A1B2C3" w:rsidRDefault="00A1B2C3">
      <w:pPr>
        <w:spacing w:line="480" w:lineRule="auto"/>
        <w:ind w:firstLine="480"/>
        <w:jc w:val="both"/>
      </w:pPr>
      <w:r>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P = 0.001) (Figure 2E). The median (IQR) PFS was 31.8 (14.5-49.1) months in CRTCT group and 13.0 (7.5-18.4) months in the RT group (HR, 0.56; 95% CI, 0.39-0.80; P = 0.001) (Figure 2F).</w:t>
      </w:r>
    </w:p>
    <w:p w14:paraId="1A2B3D06" w14:textId="77777777" w:rsidR="00A1B2C3" w:rsidRDefault="00A1B2C3">
      <w:pPr>
        <w:spacing w:line="480" w:lineRule="auto"/>
        <w:ind w:firstLine="480"/>
        <w:jc w:val="both"/>
      </w:pPr>
      <w:r>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P = 0.04; 3-year PFS: 45.0% vs 30.4%; log-rank P = 0.008) (eFigure in Supplement 2). Furthermore, the OS of patients who discontinued consolidation with S-1 due to treatment-related toxic effects or comorbidities was similar to those who discontinued consolidation with S-1 due to other causes (3-year OS: 40.6% vs 38.0%; log-rank P = 0.91).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P = 0.03). The distant metastasis–free survival rates in the CRTCT group and the RT group were 69.0% vs 54.8% at 1 year, 48.7% vs 40.3% at 2 years, and 41.2% vs 32.3% at 3 years (HR, 0.76; 95% CI, 0.58-1.00; log-rank P = 0.50).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