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r>
              <w:rPr>
                <w:rFonts w:ascii="Times New Roman" w:hAnsi="Times New Roman" w:eastAsia="宋体"/>
                <w:sz w:val="24"/>
                <w:szCs w:val="24"/>
              </w:rPr>
              <w:t xml:space="preserve">BMI, median (IQR)</w:t>
            </w:r>
          </w:p>
        </w:tc>
        <w:tc>
          <w:tcPr>
            <w:tcW w:w="3000" w:type="dxa"/>
          </w:tcPr>
          <w:p>
            <w:r>
              <w:rPr>
                <w:rFonts w:ascii="Times New Roman" w:hAnsi="Times New Roman" w:eastAsia="宋体"/>
                <w:sz w:val="24"/>
                <w:szCs w:val="24"/>
              </w:rPr>
              <w:t xml:space="preserve">NR</w:t>
            </w:r>
          </w:p>
        </w:tc>
        <w:tc>
          <w:tcPr>
            <w:tcW w:w="3000" w:type="dxa"/>
          </w:tcPr>
          <w:p>
            <w:r>
              <w:rPr>
                <w:rFonts w:ascii="Times New Roman" w:hAnsi="Times New Roman" w:eastAsia="宋体"/>
                <w:sz w:val="24"/>
                <w:szCs w:val="24"/>
              </w:rPr>
              <w:t xml:space="preserve">NR</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