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Pr>
          <w:rFonts w:ascii="Times New Roman" w:hAnsi="Times New Roman" w:eastAsia="宋体"/>
          <w:sz w:val="24"/>
          <w:szCs w:val="24"/>
        </w:rPr>
        <w:t xml:space="preserve">This multicenter, open-label, phase III randomized clinical trial was conducted between March 2017 and April 2020 in participants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Pr>
          <w:rFonts w:ascii="Times New Roman" w:hAnsi="Times New Roman" w:eastAsia="宋体"/>
          <w:sz w:val="24"/>
          <w:szCs w:val="24"/>
        </w:rPr>
        <w:t xml:space="preserve">Participants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participants was required for each group to achieve 80% power at the 5% level to detect a 10% increment in 1-year OS. Based on a 10% dropout rate, a final sample size of 150 for each group was required. Eligible participants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participants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Pr>
          <w:rFonts w:ascii="Times New Roman" w:hAnsi="Times New Roman" w:eastAsia="宋体"/>
          <w:sz w:val="24"/>
          <w:szCs w:val="24"/>
        </w:rPr>
        <w:t xml:space="preserve">According to our protocol, when 80% of the participants (240 participants) enrolled in the study by February 19, 2019, 34 of 127 participants (26.8%) assigned to the CRTCT group were unable to complete concurrent chemotherapy and only 20 participants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participants into the CRTCT group. Consequently, the number of participants who completed RT in the RT group was similar to those who completed concurrent chemoradiotherapy in CRTCT group (133 participants vs 134 participants).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Pr>
          <w:rFonts w:ascii="Times New Roman" w:hAnsi="Times New Roman" w:eastAsia="宋体"/>
          <w:sz w:val="24"/>
          <w:szCs w:val="24"/>
        </w:rPr>
        <w:t xml:space="preserve">The enrolled participants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Pr>
          <w:rFonts w:ascii="Times New Roman" w:hAnsi="Times New Roman" w:eastAsia="宋体"/>
          <w:sz w:val="24"/>
          <w:szCs w:val="24"/>
        </w:rPr>
        <w:t xml:space="preserve">All participants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participants experiencing recurrence or progression of dysphagia); bone scan (in participants experiencing bone pain or with elevated alkaline phosphatase levels); magnetic resonance imaging of the brain (in participants experiencing any symptoms related to central nervous system); and documentation of participants’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Pr>
          <w:rFonts w:ascii="Times New Roman" w:hAnsi="Times New Roman" w:eastAsia="宋体"/>
          <w:sz w:val="24"/>
          <w:szCs w:val="24"/>
        </w:rPr>
        <w:t xml:space="preserve">Primary and secondary end points were evaluated in the intention-to-treat (ITT) population (all randomized participants).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participants with different general condition or cancer status. Statistical analysis was performed using the SPSS for Windows program, version 21.0 (IBM) and R version 3.4.1 (R Project for Statistical Computing). All statistical tests were 2-sided, and </w:t>
      </w:r>
      <w:r>
        <w:rPr>
          <w:rFonts w:ascii="Times New Roman" w:hAnsi="Times New Roman" w:eastAsia="宋体"/>
          <w:i/>
          <w:sz w:val="24"/>
          <w:szCs w:val="24"/>
        </w:rPr>
        <w:t xml:space="preserve">P</w:t>
      </w:r>
      <w:r>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