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Pr>
          <w:rFonts w:ascii="Times New Roman" w:hAnsi="Times New Roman" w:eastAsia="宋体"/>
          <w:sz w:val="24"/>
          <w:szCs w:val="24"/>
        </w:rPr>
        <w:t xml:space="preserve">The carboplatin regimen demonstrated excellent efficacy in the CROSS study. The pathological complete response rate for squamous cell carcinoma was as high as 49% after 5 cycles of carboplatin-based chemotherapy combined with radiotherapy at a total dose of 41.4 Gy delivered in 1.8-Gy fractions.[7] Since then, this carboplatin regimen has been widely adopted and is recommended by the NCCN guidelines as a standard chemotherapy regimen for concurrent chemoradiotherapy, including both neoadjuvant and definitive settings. However, in the absence of a prospective comparison, no difference in prognosis was observed between patients receiving paclitaxel plus carboplatin and those receiving cisplatin plus fluorouracil in definitive chemoradiotherapy.[10] With respect to safety, patients in the carboplatin group experienced mild adverse effects, with fewer hematologic and gastrointestinal toxic effects than those in the cisplatin group, but still more severe toxic effects than those reported in the CROSS study, particularly hematologic toxic effects (34.6% for grade 3 or higher neutropenia), which may be attributable to a greater number of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