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  <w:r>
        <w:rPr>
          <w:rFonts w:ascii="Times New Roman" w:hAnsi="Times New Roman" w:eastAsia="宋体"/>
          <w:sz w:val="24"/>
          <w:szCs w:val="24"/>
        </w:rPr>
        <w:t>在射血分数降低的心力衰竭患者中，DAPA-HF 试验显示达格列净较安慰剂显著降低心血管死亡或心衰恶化（主要复合终点）的发生风险（16.3% 对 21.2%；风险比 0.74，95% CI 0.65–0.85）</w:t>
      </w:r>
      <w:r>
        <w:rPr>
          <w:rFonts w:ascii="Times New Roman" w:hAnsi="Times New Roman" w:eastAsia="宋体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/>
          <w:sz w:val="24"/>
          <w:szCs w:val="24"/>
        </w:rPr>
        <w:t>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p>
      <w:pPr>
        <w:pStyle w:val="Heading2"/>
      </w:pPr>
      <w:r>
        <w:rPr>
          <w:rFonts w:ascii="Times New Roman" w:hAnsi="Times New Roman" w:eastAsia="宋体"/>
          <w:sz w:val="24"/>
          <w:szCs w:val="24"/>
        </w:rPr>
        <w:t>参考文献</w:t>
      </w:r>
    </w:p>
    <w:p>
      <w:pPr>
        <w:spacing w:line="480" w:lineRule="auto"/>
        <w:jc w:val="both"/>
      </w:pPr>
      <w:r>
        <w:rPr>
          <w:rFonts w:ascii="Times New Roman" w:hAnsi="Times New Roman" w:eastAsia="宋体"/>
          <w:sz w:val="24"/>
          <w:szCs w:val="24"/>
        </w:rPr>
        <w:t>[1] McMurray JJV, Solomon SD, Inzucchi SE, Køber L, Kosiborod MN, Martinez FA, et al. Dapagliflozin in patients with heart failure and reduced ejection fraction. N Engl J Med. 2019;381(21):1995-2008. DOI: 10.1056/NEJMoa1911303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