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>
        <w:rPr>
          <w:rFonts w:ascii="Times New Roman" w:hAnsi="Times New Roman" w:eastAsia="宋体"/>
          <w:b/>
          <w:sz w:val="24"/>
          <w:szCs w:val="24"/>
        </w:rPr>
        <w:t xml:space="preserve">达格列净</w:t>
      </w:r>
      <w:r>
        <w:rPr>
          <w:rFonts w:ascii="Times New Roman" w:hAnsi="Times New Roman" w:eastAsia="宋体"/>
          <w:sz w:val="24"/>
          <w:szCs w:val="24"/>
        </w:rPr>
        <w:t xml:space="preserve">在既往研究中显示出潜在获益。DAPA-HF 试验在 4744 例 NYHA 心功能 II–IV 级的射血分数降低心力衰竭患者中显示，达格列净可使心衰恶化或心血管死亡的主要复合终点风险降低 26%（HR 0.74，95% CI 0.65–0.85，P&lt;0.001）</w:t>
      </w:r>
      <w:r>
        <w:rPr>
          <w:rFonts w:ascii="Times New Roman" w:hAnsi="Times New Roman" w:eastAsia="宋体"/>
          <w:sz w:val="24"/>
          <w:szCs w:val="24"/>
          <w:vertAlign w:val="superscript"/>
        </w:rPr>
        <w:t>[1]</w:t>
      </w:r>
      <w:r>
        <w:rPr>
          <w:rFonts w:ascii="Times New Roman" w:hAnsi="Times New Roman" w:eastAsia="宋体"/>
          <w:sz w:val="24"/>
          <w:szCs w:val="24"/>
        </w:rPr>
        <w:t xml:space="preserve">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本研究显示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可降低心血管死亡或心衰恶化风险，效果挺好，且安全性可接受。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p>
      <w:pPr>
        <w:pStyle w:val="Heading1"/>
      </w:pPr>
      <w:r>
        <w:t>参考文献</w:t>
      </w:r>
    </w:p>
    <w:p>
      <w:pPr>
        <w:ind w:left="440" w:hanging="440"/>
      </w:pPr>
      <w:r>
        <w:t xml:space="preserve">[1] McMurray JJ, Solomon SD, Inzucchi SE, et al. Dapagliflozin in Patients with Heart Failure and Reduced Ejection Fraction. N Engl J Med. 2019;381(21):1995-2008. doi:10.1056/nejmoa1911303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