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治疗射血分数降低心力衰竭的随机对照试验</w:t>
      </w:r>
    </w:p>
    <w:p w14:paraId="1A2B3C02" w14:textId="77777777" w:rsidR="00A1B2C3" w:rsidRDefault="00A1B2C3">
      <w:pPr>
        <w:pStyle w:val="Heading2"/>
      </w:pPr>
      <w:r w:rsidRPr="00C4D5E6">
        <w:rPr>
          <w:rFonts w:ascii="Times New Roman" w:hAnsi="Times New Roman" w:eastAsia="宋体"/>
          <w:sz w:val="24"/>
          <w:szCs w:val="24"/>
        </w:rPr>
        <w:t xml:space="preserve">背景</w:t>
      </w:r>
    </w:p>
    <w:p w14:paraId="1A2B3C03" w14:textId="77777777" w:rsidR="00A1B2C3" w:rsidRDefault="00A1B2C3">
      <w:pPr>
        <w:spacing w:line="480" w:lineRule="auto"/>
        <w:ind w:firstLine="480"/>
        <w:jc w:val="both"/>
      </w:pPr>
      <w:r w:rsidRPr="00C4D5E6">
        <w:rPr>
          <w:rFonts w:ascii="Times New Roman" w:hAnsi="Times New Roman" w:eastAsia="宋体"/>
          <w:sz w:val="24"/>
          <w:szCs w:val="24"/>
        </w:rPr>
        <w:t xml:space="preserve">射血分数降低的心力衰竭预后较差，现有治疗仍有未满足的需求。</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在既往研究中显示出潜在获益。</w:t>
      </w:r>
    </w:p>
    <w:p w14:paraId="1A2B3C04" w14:textId="77777777" w:rsidR="00A1B2C3" w:rsidRDefault="00A1B2C3">
      <w:pPr>
        <w:pStyle w:val="Heading2"/>
      </w:pPr>
      <w:r w:rsidRPr="00C4D5E6">
        <w:rPr>
          <w:rFonts w:ascii="Times New Roman" w:hAnsi="Times New Roman" w:eastAsia="宋体"/>
          <w:sz w:val="24"/>
          <w:szCs w:val="24"/>
        </w:rPr>
        <w:t xml:space="preserve">方法</w:t>
      </w:r>
    </w:p>
    <w:p w14:paraId="1A2B3C05" w14:textId="77777777">
      <w:pPr>
        <w:spacing w:line="480" w:lineRule="auto"/>
        <w:ind w:firstLine="480"/>
        <w:jc w:val="both"/>
      </w:pPr>
      <w:r>
        <w:rPr>
          <w:rFonts w:ascii="Times New Roman" w:hAnsi="Times New Roman" w:eastAsia="宋体"/>
          <w:sz w:val="24"/>
          <w:szCs w:val="24"/>
        </w:rPr>
        <w:t xml:space="preserve">本研究为多中心、随机、双盲、安慰剂对照的平行组试验。随机序列由独立于研究团队的统计人员使用统计软件按区组随机化方法生成，区组长度由统计人员设定且不向各研究中心公开；随机化按研究中心分层。</w:t>
      </w:r>
      <w:r>
        <w:rPr>
          <w:rFonts w:ascii="Times New Roman" w:hAnsi="Times New Roman" w:eastAsia="宋体"/>
          <w:sz w:val="24"/>
          <w:szCs w:val="24"/>
        </w:rPr>
        <w:t xml:space="preserve">受试者在完成筛选期评估并确认符合全部入选标准后，由研究者通过中央交互式网络应答系统（interactive web response system, IWRS）录入基线信息，系统按 </w:t>
      </w:r>
      <w:commentRangeStart w:id="0"/>
      <w:r>
        <w:rPr>
          <w:rFonts w:ascii="Times New Roman" w:hAnsi="Times New Roman" w:eastAsia="宋体"/>
          <w:sz w:val="24"/>
          <w:szCs w:val="24"/>
        </w:rPr>
        <w:t xml:space="preserve">1:1 比例随机分配</w:t>
      </w:r>
      <w:commentRangeEnd w:id="0"/>
      <w:r>
        <w:rPr>
          <w:rStyle w:val="CommentReference"/>
        </w:rPr>
        <w:commentReference w:id="0"/>
      </w:r>
      <w:r>
        <w:rPr>
          <w:rFonts w:ascii="Times New Roman" w:hAnsi="Times New Roman" w:eastAsia="宋体"/>
          <w:sz w:val="24"/>
          <w:szCs w:val="24"/>
        </w:rPr>
        <w:t xml:space="preserve">至</w:t>
      </w:r>
      <w:r>
        <w:rPr>
          <w:rFonts w:ascii="Times New Roman" w:hAnsi="Times New Roman" w:eastAsia="宋体"/>
          <w:b/>
          <w:bCs/>
          <w:sz w:val="24"/>
          <w:szCs w:val="24"/>
        </w:rPr>
        <w:t xml:space="preserve">达格列净</w:t>
      </w:r>
      <w:r>
        <w:rPr>
          <w:rFonts w:ascii="Times New Roman" w:hAnsi="Times New Roman" w:eastAsia="宋体"/>
          <w:sz w:val="24"/>
          <w:szCs w:val="24"/>
        </w:rPr>
        <w:t xml:space="preserve">组或</w:t>
      </w:r>
      <w:r>
        <w:rPr>
          <w:rFonts w:ascii="Times New Roman" w:hAnsi="Times New Roman" w:eastAsia="宋体"/>
          <w:sz w:val="24"/>
          <w:szCs w:val="24"/>
        </w:rPr>
        <w:t xml:space="preserve">安慰剂</w:t>
      </w:r>
      <w:r>
        <w:rPr>
          <w:rFonts w:ascii="Times New Roman" w:hAnsi="Times New Roman" w:eastAsia="宋体"/>
          <w:sz w:val="24"/>
          <w:szCs w:val="24"/>
        </w:rPr>
        <w:t xml:space="preserve">组。随机号与药物编号的对应关系由 IWRS 统一管理，各中心仅在完成随机化后方可获得相应编号的研究药物，从而保证分配隐藏。研究药物由申办方按随机号预先包装，</w:t>
      </w:r>
      <w:r>
        <w:rPr>
          <w:rFonts w:ascii="Times New Roman" w:hAnsi="Times New Roman" w:eastAsia="宋体"/>
          <w:b/>
          <w:bCs/>
          <w:sz w:val="24"/>
          <w:szCs w:val="24"/>
        </w:rPr>
        <w:t xml:space="preserve">达格列净</w:t>
      </w:r>
      <w:r>
        <w:rPr>
          <w:rFonts w:ascii="Times New Roman" w:hAnsi="Times New Roman" w:eastAsia="宋体"/>
          <w:sz w:val="24"/>
          <w:szCs w:val="24"/>
        </w:rPr>
        <w:t xml:space="preserve">片与</w:t>
      </w:r>
      <w:r>
        <w:rPr>
          <w:rFonts w:ascii="Times New Roman" w:hAnsi="Times New Roman" w:eastAsia="宋体"/>
          <w:sz w:val="24"/>
          <w:szCs w:val="24"/>
        </w:rPr>
        <w:t xml:space="preserve">安慰剂</w:t>
      </w:r>
      <w:r>
        <w:rPr>
          <w:rFonts w:ascii="Times New Roman" w:hAnsi="Times New Roman" w:eastAsia="宋体"/>
          <w:sz w:val="24"/>
          <w:szCs w:val="24"/>
        </w:rPr>
        <w:t xml:space="preserve">片在外观、气味、包装及标签上完全一致。受试者、研究者、终点判定委员会成员和统计分析人员对分组均设盲，数据锁定并完成主要分析后方行揭盲；仅在发生需明确后续处理方案的严重不良事件时，由独立的数据安全监查委员会按预设程序实施紧急揭盲，并记录揭盲原因。</w:t>
      </w:r>
    </w:p>
    <w:p w14:paraId="1A2B3C06" w14:textId="77777777" w:rsidR="00A1B2C3" w:rsidRDefault="00A1B2C3">
      <w:pPr>
        <w:spacing w:line="480" w:lineRule="auto"/>
        <w:ind w:firstLine="480"/>
        <w:jc w:val="both"/>
      </w:pPr>
      <w:r w:rsidRPr="00C4D5E6">
        <w:rPr>
          <w:rFonts w:ascii="Times New Roman" w:hAnsi="Times New Roman" w:eastAsia="宋体"/>
          <w:sz w:val="24"/>
          <w:szCs w:val="24"/>
        </w:rPr>
        <w:t xml:space="preserve">主要终点为心血管死亡或心衰恶化，次要终点包括全因死亡与生活质量评分。</w:t>
      </w:r>
    </w:p>
    <w:p w14:paraId="1A2B3C07" w14:textId="77777777" w:rsidR="00A1B2C3" w:rsidRDefault="00A1B2C3">
      <w:pPr>
        <w:pStyle w:val="Heading2"/>
      </w:pPr>
      <w:r w:rsidRPr="00C4D5E6">
        <w:rPr>
          <w:rFonts w:ascii="Times New Roman" w:hAnsi="Times New Roman" w:eastAsia="宋体"/>
          <w:sz w:val="24"/>
          <w:szCs w:val="24"/>
        </w:rPr>
        <w:t xml:space="preserve">结果</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共纳入 4744 例受试者。安慰剂组中位随访 18 个个月；</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组与安慰剂组的严重不良事件发生率分别为 </w:t>
      </w:r>
      <w:r w:rsidRPr="00C4D5E6">
        <w:rPr>
          <w:rFonts w:ascii="Times New Roman" w:hAnsi="Times New Roman" w:eastAsia="宋体"/>
          <w:sz w:val="24"/>
          <w:szCs w:val="24"/>
          <w:i/>
          <w:iCs/>
        </w:rPr>
        <w:t xml:space="preserve">21.4%</w:t>
      </w:r>
      <w:r w:rsidRPr="00C4D5E6">
        <w:rPr>
          <w:rFonts w:ascii="Times New Roman" w:hAnsi="Times New Roman" w:eastAsia="宋体"/>
          <w:sz w:val="24"/>
          <w:szCs w:val="24"/>
        </w:rPr>
        <w:t xml:space="preserve"> 与 </w:t>
      </w:r>
      <w:r w:rsidRPr="00C4D5E6">
        <w:rPr>
          <w:rFonts w:ascii="Times New Roman" w:hAnsi="Times New Roman" w:eastAsia="宋体"/>
          <w:sz w:val="24"/>
          <w:szCs w:val="24"/>
          <w:i/>
          <w:iCs/>
        </w:rPr>
        <w:t xml:space="preserve">25.8%</w:t>
      </w:r>
      <w:r w:rsidRPr="00C4D5E6">
        <w:rPr>
          <w:rFonts w:ascii="Times New Roman" w:hAnsi="Times New Roman" w:eastAsia="宋体"/>
          <w:sz w:val="24"/>
          <w:szCs w:val="24"/>
        </w:rPr>
        <w:t xml:space="preserve">，安慰剂组因不良事件停药更常见。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09" w14:textId="77777777" w:rsidR="00A1B2C3" w:rsidRDefault="00A1B2C3">
            <w:r w:rsidRPr="00C4D5E6">
              <w:rPr>
                <w:rFonts w:ascii="Times New Roman" w:hAnsi="Times New Roman" w:eastAsia="宋体"/>
                <w:sz w:val="24"/>
                <w:szCs w:val="24"/>
              </w:rPr>
              <w:t xml:space="preserve">基线特征</w:t>
            </w:r>
          </w:p>
        </w:tc>
        <w:tc>
          <w:tcPr>
            <w:tcW w:w="3000" w:type="dxa"/>
          </w:tcPr>
          <w:p w14:paraId="1A2B3C0A" w14:textId="77777777" w:rsidR="00A1B2C3" w:rsidRDefault="00A1B2C3">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组</w:t>
            </w:r>
          </w:p>
        </w:tc>
        <w:tc>
          <w:tcPr>
            <w:tcW w:w="3000" w:type="dxa"/>
          </w:tcPr>
          <w:p w14:paraId="1A2B3C0B" w14:textId="77777777" w:rsidR="00A1B2C3" w:rsidRDefault="00A1B2C3">
            <w:r w:rsidRPr="00C4D5E6">
              <w:rPr>
                <w:rFonts w:ascii="Times New Roman" w:hAnsi="Times New Roman" w:eastAsia="宋体"/>
                <w:sz w:val="24"/>
                <w:szCs w:val="24"/>
              </w:rPr>
              <w:t xml:space="preserve">安慰剂组</w:t>
            </w:r>
          </w:p>
        </w:tc>
      </w:tr>
      <w:tr>
        <w:tc>
          <w:tcPr>
            <w:tcW w:w="3000" w:type="dxa"/>
          </w:tcPr>
          <w:p w14:paraId="1A2B3C0C" w14:textId="77777777" w:rsidR="00A1B2C3" w:rsidRDefault="00A1B2C3">
            <w:r w:rsidRPr="00C4D5E6">
              <w:rPr>
                <w:rFonts w:ascii="Times New Roman" w:hAnsi="Times New Roman" w:eastAsia="宋体"/>
                <w:sz w:val="24"/>
                <w:szCs w:val="24"/>
              </w:rPr>
              <w:t xml:space="preserve">年龄（岁）</w:t>
            </w:r>
          </w:p>
        </w:tc>
        <w:tc>
          <w:tcPr>
            <w:tcW w:w="3000" w:type="dxa"/>
          </w:tcPr>
          <w:p w14:paraId="1A2B3C0D" w14:textId="77777777" w:rsidR="00A1B2C3" w:rsidRDefault="00A1B2C3">
            <w:r w:rsidRPr="00C4D5E6">
              <w:rPr>
                <w:rFonts w:ascii="Times New Roman" w:hAnsi="Times New Roman" w:eastAsia="宋体"/>
                <w:sz w:val="24"/>
                <w:szCs w:val="24"/>
              </w:rPr>
              <w:t xml:space="preserve">66.2 ± 11.0</w:t>
            </w:r>
          </w:p>
        </w:tc>
        <w:tc>
          <w:tcPr>
            <w:tcW w:w="3000" w:type="dxa"/>
          </w:tcPr>
          <w:p w14:paraId="1A2B3C0E" w14:textId="77777777" w:rsidR="00A1B2C3" w:rsidRDefault="00A1B2C3">
            <w:r w:rsidRPr="00C4D5E6">
              <w:rPr>
                <w:rFonts w:ascii="Times New Roman" w:hAnsi="Times New Roman" w:eastAsia="宋体"/>
                <w:sz w:val="24"/>
                <w:szCs w:val="24"/>
              </w:rPr>
              <w:t xml:space="preserve">66.5 ± 10.8</w:t>
            </w:r>
          </w:p>
        </w:tc>
      </w:tr>
      <w:tr>
        <w:tc>
          <w:tcPr>
            <w:tcW w:w="3000" w:type="dxa"/>
          </w:tcPr>
          <w:p w14:paraId="1A2B3C0F" w14:textId="77777777" w:rsidR="00A1B2C3" w:rsidRDefault="00A1B2C3">
            <w:r w:rsidRPr="00C4D5E6">
              <w:rPr>
                <w:rFonts w:ascii="Times New Roman" w:hAnsi="Times New Roman" w:eastAsia="宋体"/>
                <w:sz w:val="24"/>
                <w:szCs w:val="24"/>
              </w:rPr>
              <w:t xml:space="preserve">男性（%）</w:t>
            </w:r>
          </w:p>
        </w:tc>
        <w:tc>
          <w:tcPr>
            <w:tcW w:w="3000" w:type="dxa"/>
          </w:tcPr>
          <w:p w14:paraId="1A2B3C10" w14:textId="77777777" w:rsidR="00A1B2C3" w:rsidRDefault="00A1B2C3">
            <w:r w:rsidRPr="00C4D5E6">
              <w:rPr>
                <w:rFonts w:ascii="Times New Roman" w:hAnsi="Times New Roman" w:eastAsia="宋体"/>
                <w:sz w:val="24"/>
                <w:szCs w:val="24"/>
              </w:rPr>
              <w:t xml:space="preserve">76.2</w:t>
            </w:r>
          </w:p>
        </w:tc>
        <w:tc>
          <w:tcPr>
            <w:tcW w:w="3000" w:type="dxa"/>
          </w:tcPr>
          <w:p w14:paraId="1A2B3C11" w14:textId="77777777" w:rsidR="00A1B2C3" w:rsidRDefault="00A1B2C3">
            <w:r w:rsidRPr="00C4D5E6">
              <w:rPr>
                <w:rFonts w:ascii="Times New Roman" w:hAnsi="Times New Roman" w:eastAsia="宋体"/>
                <w:sz w:val="24"/>
                <w:szCs w:val="24"/>
              </w:rPr>
              <w:t xml:space="preserve">77.0</w:t>
            </w:r>
          </w:p>
        </w:tc>
      </w:tr>
    </w:tbl>
    <w:p w14:paraId="1A2B3C12" w14:textId="77777777" w:rsidR="00A1B2C3" w:rsidRDefault="00A1B2C3">
      <w:pPr>
        <w:pStyle w:val="Heading2"/>
      </w:pPr>
      <w:r w:rsidRPr="00C4D5E6">
        <w:rPr>
          <w:rFonts w:ascii="Times New Roman" w:hAnsi="Times New Roman" w:eastAsia="宋体"/>
          <w:sz w:val="24"/>
          <w:szCs w:val="24"/>
        </w:rPr>
        <w:t xml:space="preserve">讨论</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本研究显示</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可降低心血管死亡或心衰恶化风险，效果挺好，且安全性可接受。</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该结果与既往同类研究一致，但样本以亚洲人群为主，外推需谨慎。</w:t>
      </w:r>
    </w:p>
    <w:p w14:paraId="1A2B3C15" w14:textId="77777777" w:rsidR="00A1B2C3" w:rsidRDefault="00A1B2C3">
      <w:pPr>
        <w:pStyle w:val="Heading2"/>
      </w:pPr>
      <w:r w:rsidRPr="00C4D5E6">
        <w:rPr>
          <w:rFonts w:ascii="Times New Roman" w:hAnsi="Times New Roman" w:eastAsia="宋体"/>
          <w:sz w:val="24"/>
          <w:szCs w:val="24"/>
        </w:rPr>
        <w:t xml:space="preserve">结论</w:t>
      </w:r>
    </w:p>
    <w:p w14:paraId="1A2B3C16" w14:textId="77777777" w:rsidR="00A1B2C3" w:rsidRDefault="00A1B2C3">
      <w:pPr>
        <w:spacing w:line="480" w:lineRule="auto"/>
        <w:ind w:firstLine="480"/>
        <w:jc w:val="both"/>
      </w:pP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改善了射血分数降低的心力衰竭患者的主要结局。安全性总体可接受。该方案值得在临床实践中推广。</w:t>
      </w:r>
    </w:p>
    <w:sectPr>
      <w:pgSz w:w="11906" w:h="16838"/>
      <w:pgMar w:top="1440" w:right="1440" w:bottom="1440" w:left="1440" w:header="851" w:footer="992" w:gutter="0"/>
    </w:sectPr>
  </w:body>
</w:document>
</file>

<file path=word/comments.xml><?xml version="1.0" encoding="utf-8"?>
<w:comments xmlns:w="http://schemas.openxmlformats.org/wordprocessingml/2006/main">
  <w:comment w:id="0" w:author="钱东" w:date="2026-10-19T08:00:00Z" w:initials="QD">
    <w:p>
      <w:r>
        <w:t xml:space="preserve">随机化比例请与方案 v2.1 核对</w:t>
      </w:r>
    </w:p>
  </w:comment>
</w:comment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Comments1" Type="http://schemas.openxmlformats.org/officeDocument/2006/relationships/comments" Target="comments.xml"/></Relationships>
</file>