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2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BMI（kg/m²）</w:t>
            </w:r>
          </w:p>
        </w:tc>
        <w:tc>
          <w:tcPr>
            <w:tcW w:w="3000" w:type="dxa"/>
          </w:tcPr>
          <w:p w14:paraId="1A2B3C2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27.1 ± 4.3</w:t>
            </w:r>
          </w:p>
        </w:tc>
        <w:tc>
          <w:tcPr>
            <w:tcW w:w="3000" w:type="dxa"/>
          </w:tcPr>
          <w:p w14:paraId="1A2B3C22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26.8 ± 4.5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