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 xml:space="preserve">一线治疗 PD-L1 高表达非小细胞肺癌的随机对照试验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PD-L1 高表达的晚期非小细胞肺癌预后较差，现有治疗仍有未满足的需求。</w:t>
      </w:r>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rsidR="00A1B2C3" w:rsidRDefault="00A1B2C3">
      <w:pPr>
        <w:spacing w:line="480" w:lineRule="auto"/>
        <w:ind w:firstLine="480"/>
        <w:jc w:val="both"/>
      </w:pPr>
      <w:r>
        <w:rPr>
          <w:rFonts w:ascii="Times New Roman" w:hAnsi="Times New Roman" w:eastAsia="宋体"/>
          <w:sz w:val="24"/>
          <w:szCs w:val="24"/>
        </w:rPr>
        <w:t xml:space="preserve">本研究为多中心、随机、双盲、化疗对照试验。随机序列由独立于研究团队的统计人员使用计算机生成随机数字表，按 </w:t>
      </w:r>
      <w:commentRangeStart w:id="0"/>
      <w:r>
        <w:rPr>
          <w:rFonts w:ascii="Times New Roman" w:hAnsi="Times New Roman" w:eastAsia="宋体"/>
          <w:sz w:val="24"/>
          <w:szCs w:val="24"/>
        </w:rPr>
        <w:t xml:space="preserve">1:1 随机分配</w:t>
      </w:r>
      <w:commentRangeEnd w:id="0"/>
      <w:r>
        <w:rPr>
          <w:rStyle w:val="CommentReference"/>
        </w:rPr>
        <w:commentReference w:id="0"/>
      </w:r>
      <w:r>
        <w:rPr>
          <w:rFonts w:ascii="Times New Roman" w:hAnsi="Times New Roman" w:eastAsia="宋体"/>
          <w:sz w:val="24"/>
          <w:szCs w:val="24"/>
        </w:rPr>
        <w:t>比例将受试者分配至</w:t>
      </w:r>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组或化疗组，并按预设区组长度进行区组随机。随机分配方案生成后由独立统计人员封存，受试者入组时由不参与后续疗效和安全性评估的研究协调员通过中心随机分配系统获取分组结果，研究者和受试者均无法提前预知分组，从而实现分配隐藏。试验采用双模拟设计，对受试者、研究者和结局评估者设盲：帕博利珠单抗与化疗药物均由不参与研究的药房按统一外观配制，并以安慰剂匹配输注，使两组的给药外观、剂量和输注时间保持一致；盲态维持至主要终点分析完成，仅在发生需紧急处置的安全性事件时按预案揭盲。</w:t>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主要终点为无进展生存期，次要终点包括全因死亡与生活质量评分。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305 例受试者。化疗组中位随访 18 个个月；</w:t>
      </w:r>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 xml:space="preserve">组与化疗组的严重不良事件发生率分别为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，化疗组因不良事件停药更常见。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化疗组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64.5 ± 9.2</w:t>
            </w:r>
          </w:p>
        </w:tc>
        <w:tc>
          <w:tcPr>
            <w:tcW w:w="3000" w:type="dxa"/>
          </w:tcPr>
          <w:p w14:paraId="1A2B3C0E" w14:textId="77777777" w:rsidR="00A1B2C3" w:rsidRDefault="00A1B2C3">
            <w:r w:rsidRPr="00C4D5E6">
              <w:rPr>
                <w:rFonts w:ascii="Times New Roman" w:hAnsi="Times New Roman" w:eastAsia="宋体"/>
                <w:sz w:val="24"/>
                <w:szCs w:val="24"/>
              </w:rPr>
              <w:t xml:space="preserve">65.8 ± 8.7</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 xml:space="preserve">可降低无进展生存期风险，效果挺好，且安全性可接受。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帕博利珠单抗</w:t>
      </w:r>
      <w:r w:rsidRPr="00C4D5E6">
        <w:rPr>
          <w:rFonts w:ascii="Times New Roman" w:hAnsi="Times New Roman" w:eastAsia="宋体"/>
          <w:sz w:val="24"/>
          <w:szCs w:val="24"/>
        </w:rPr>
        <w:t xml:space="preserve">改善了PD-L1 高表达的晚期非小细胞肺癌患者的主要结局。安全性总体可接受。该方案值得在临床实践中推广。</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钱东" w:date="2026-10-19T08:00:00Z" w:initials="QD">
    <w:p>
      <w:r>
        <w:t xml:space="preserve">随机化比例请与方案 v2.1 核对</w:t>
      </w:r>
    </w:p>
  </w:comment>
</w:comment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Comments1" Type="http://schemas.openxmlformats.org/officeDocument/2006/relationships/comments" Target="comments.xml"/></Relationships>
</file>