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治疗慢性肾脏病的随机对照试验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慢性肾脏病预后较差，现有治疗仍有未满足的需求。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  <w:r>
        <w:rPr>
          <w:rFonts w:ascii="Times New Roman" w:hAnsi="Times New Roman" w:eastAsia="宋体"/>
          <w:sz w:val="24"/>
          <w:szCs w:val="24"/>
        </w:rPr>
        <w:t xml:space="preserve">在 DAPA-CKD 试验中，达格列净使由 eGFR 持续下降≥50%、终末期肾病或肾性/心血管死亡组成的复合终点风险显著降低 39%（风险比 0.61，95% CI 0.51–0.72）</w:t>
      </w:r>
      <w:r>
        <w:rPr>
          <w:rFonts w:ascii="Times New Roman" w:hAnsi="Times New Roman" w:eastAsia="宋体"/>
          <w:sz w:val="24"/>
          <w:szCs w:val="24"/>
          <w:vertAlign w:val="superscript"/>
        </w:rPr>
        <w:t xml:space="preserve">[1]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主要终点为eGFR 持续下降、终末期肾病或肾性/心血管死亡，次要终点包括全因死亡与生活质量评分。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4304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61.8 ± 12.1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61.9 ± 12.1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可降低eGFR 持续下降、终末期肾病或肾性/心血管死亡风险，效果挺好，且安全性可接受。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改善了慢性肾脏病患者的主要结局。安全性总体可接受。该方案值得在临床实践中推广。</w:t>
      </w:r>
    </w:p>
    <w:p>
      <w:pPr>
        <w:pStyle w:val="Heading2"/>
      </w:pPr>
      <w:r>
        <w:rPr>
          <w:rFonts w:ascii="Times New Roman" w:hAnsi="Times New Roman" w:eastAsia="宋体"/>
          <w:sz w:val="24"/>
          <w:szCs w:val="24"/>
        </w:rPr>
        <w:t xml:space="preserve">参考文献</w:t>
      </w:r>
    </w:p>
    <w:p>
      <w:pPr>
        <w:spacing w:line="48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Heerspink HJL, Stefánsson BV, Correa-Rotter R, et al. Dapagliflozin in patients with chronic kidney disease. N Engl J Med. 2020;383(15):1436-1446. doi:10.1056/NEJMoa2024816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