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  <w:r>
        <w:rPr>
          <w:rFonts w:ascii="Times New Roman" w:hAnsi="Times New Roman" w:eastAsia="宋体"/>
          <w:sz w:val="24"/>
          <w:szCs w:val="24"/>
        </w:rPr>
        <w:t xml:space="preserve">DAPA-HF 试验显示，在射血分数降低的心力衰竭患者中，达格列净较安慰剂显著降低心血管死亡或心衰恶化复合终点的风险（风险比 0.74，95% CI 0.65–0.85）。</w:t>
      </w:r>
      <w:r>
        <w:rPr>
          <w:rFonts w:ascii="Times New Roman" w:hAnsi="Times New Roman" w:eastAsia="宋体"/>
          <w:sz w:val="24"/>
          <w:szCs w:val="24"/>
          <w:vertAlign w:val="superscript"/>
        </w:rPr>
        <w:t xml:space="preserve">1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p>
      <w:pPr>
        <w:pStyle w:val="Heading2"/>
      </w:pPr>
      <w:r>
        <w:rPr>
          <w:rFonts w:ascii="Times New Roman" w:hAnsi="Times New Roman" w:eastAsia="宋体"/>
          <w:sz w:val="24"/>
          <w:szCs w:val="24"/>
        </w:rPr>
        <w:t xml:space="preserve">参考文献</w:t>
      </w:r>
    </w:p>
    <w:p>
      <w:pPr>
        <w:spacing w:line="480" w:lineRule="auto"/>
        <w:ind w:left="480" w:hanging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1. McMurray JJV, Solomon SD, Inzucchi SE, et al. Dapagliflozin in patients with heart failure and reduced ejection fraction. N Engl J Med. 2019;381(21):1995-2008. doi:10.1056/NEJMoa1911303.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