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共纳入 4744 例受试者。对照组中位随访 18 个个月；</w:t>
      </w:r>
      <w:r>
        <w:rPr>
          <w:rFonts w:ascii="Times New Roman" w:hAnsi="Times New Roman" w:eastAsia="宋体"/>
          <w:b/>
          <w:sz w:val="24"/>
          <w:szCs w:val="24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组与对照组的严重不良事件发生率分别为 </w:t>
      </w:r>
      <w:r>
        <w:rPr>
          <w:rFonts w:ascii="Times New Roman" w:hAnsi="Times New Roman" w:eastAsia="宋体"/>
          <w:i/>
          <w:sz w:val="24"/>
          <w:szCs w:val="24"/>
        </w:rPr>
        <w:t xml:space="preserve">21.4%</w:t>
      </w:r>
      <w:r>
        <w:rPr>
          <w:rFonts w:ascii="Times New Roman" w:hAnsi="Times New Roman" w:eastAsia="宋体"/>
          <w:sz w:val="24"/>
          <w:szCs w:val="24"/>
        </w:rPr>
        <w:t xml:space="preserve"> 与 </w:t>
      </w:r>
      <w:r>
        <w:rPr>
          <w:rFonts w:ascii="Times New Roman" w:hAnsi="Times New Roman" w:eastAsia="宋体"/>
          <w:i/>
          <w:sz w:val="24"/>
          <w:szCs w:val="24"/>
        </w:rPr>
        <w:t xml:space="preserve">25.8%</w:t>
      </w:r>
      <w:r>
        <w:rPr>
          <w:rFonts w:ascii="Times New Roman" w:hAnsi="Times New Roman" w:eastAsia="宋体"/>
          <w:sz w:val="24"/>
          <w:szCs w:val="24"/>
        </w:rPr>
        <w:t xml:space="preserve">，对照组因不良事件停药更常见。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宋体"/>
                <w:sz w:val="24"/>
                <w:szCs w:val="24"/>
              </w:rPr>
              <w:t xml:space="preserve">对照组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