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共纳入 305 例受试者。对照组中位随访 18 个个月；</w:t>
      </w:r>
      <w:r>
        <w:rPr>
          <w:rFonts w:ascii="Times New Roman" w:hAnsi="Times New Roman" w:eastAsia="宋体"/>
          <w:b/>
          <w:sz w:val="24"/>
          <w:szCs w:val="24"/>
        </w:rPr>
        <w:t xml:space="preserve">帕博利珠单抗</w:t>
      </w:r>
      <w:r>
        <w:rPr>
          <w:rFonts w:ascii="Times New Roman" w:hAnsi="Times New Roman" w:eastAsia="宋体"/>
          <w:sz w:val="24"/>
          <w:szCs w:val="24"/>
        </w:rPr>
        <w:t xml:space="preserve">组与对照组的严重不良事件发生率分别为 </w:t>
      </w:r>
      <w:r>
        <w:rPr>
          <w:rFonts w:ascii="Times New Roman" w:hAnsi="Times New Roman" w:eastAsia="宋体"/>
          <w:i/>
          <w:sz w:val="24"/>
          <w:szCs w:val="24"/>
        </w:rPr>
        <w:t xml:space="preserve">21.4%</w:t>
      </w:r>
      <w:r>
        <w:rPr>
          <w:rFonts w:ascii="Times New Roman" w:hAnsi="Times New Roman" w:eastAsia="宋体"/>
          <w:sz w:val="24"/>
          <w:szCs w:val="24"/>
        </w:rPr>
        <w:t xml:space="preserve"> 与 </w:t>
      </w:r>
      <w:r>
        <w:rPr>
          <w:rFonts w:ascii="Times New Roman" w:hAnsi="Times New Roman" w:eastAsia="宋体"/>
          <w:i/>
          <w:sz w:val="24"/>
          <w:szCs w:val="24"/>
        </w:rPr>
        <w:t xml:space="preserve">25.8%</w:t>
      </w:r>
      <w:r>
        <w:rPr>
          <w:rFonts w:ascii="Times New Roman" w:hAnsi="Times New Roman" w:eastAsia="宋体"/>
          <w:sz w:val="24"/>
          <w:szCs w:val="24"/>
        </w:rPr>
        <w:t xml:space="preserve">，对照组因不良事件停药更常见。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对照组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