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上述结果与既往同类研究报道的趋势相一致，在一定程度上支持</w:t>
      </w:r>
      <w:r>
        <w:rPr>
          <w:rFonts w:ascii="Times New Roman" w:hAnsi="Times New Roman" w:eastAsia="宋体"/>
          <w:b/>
          <w:sz w:val="24"/>
          <w:szCs w:val="24"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 xml:space="preserve">在 PD-L1 高表达人群一线治疗中的获益。然而，本研究所纳入人群以亚洲患者为主，其结论能否推广至其他人种及地区人群尚不确定，仍有待更大规模、多中心研究进一步验证。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