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573D" w14:textId="7306A246" w:rsidR="003303DA" w:rsidRPr="00354C9D" w:rsidRDefault="007E22C9">
      <w:pPr>
        <w:rPr>
          <w:sz w:val="32"/>
          <w:szCs w:val="32"/>
        </w:rPr>
      </w:pPr>
      <w:r w:rsidRPr="00354C9D">
        <w:rPr>
          <w:sz w:val="32"/>
          <w:szCs w:val="32"/>
        </w:rPr>
        <w:t>Document Library Executive Summary</w:t>
      </w:r>
    </w:p>
    <w:p w14:paraId="2C6F144E" w14:textId="193212C6" w:rsidR="004D7027" w:rsidRPr="00354C9D" w:rsidRDefault="007E22C9" w:rsidP="004D7027">
      <w:pPr>
        <w:ind w:firstLine="720"/>
        <w:rPr>
          <w:sz w:val="24"/>
          <w:szCs w:val="24"/>
        </w:rPr>
      </w:pPr>
      <w:r w:rsidRPr="00354C9D">
        <w:rPr>
          <w:sz w:val="24"/>
          <w:szCs w:val="24"/>
        </w:rPr>
        <w:t xml:space="preserve">The </w:t>
      </w:r>
      <w:r w:rsidR="004D7027" w:rsidRPr="00354C9D">
        <w:rPr>
          <w:sz w:val="24"/>
          <w:szCs w:val="24"/>
        </w:rPr>
        <w:t xml:space="preserve">March </w:t>
      </w:r>
      <w:r w:rsidRPr="00354C9D">
        <w:rPr>
          <w:sz w:val="24"/>
          <w:szCs w:val="24"/>
        </w:rPr>
        <w:t>2011 attack against RSA Security was a devastating blow to the company</w:t>
      </w:r>
      <w:r w:rsidR="004D7027" w:rsidRPr="00354C9D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costing the firm $66.3 million in an immediate quarterly earnings charge, forced a reissuing of hardware to over 30,000 customers, was directly tied to leaks of classified documents from our clients, and was a major blow to the credibility of the firm.</w:t>
      </w:r>
      <w:r w:rsidR="00354C9D">
        <w:rPr>
          <w:sz w:val="24"/>
          <w:szCs w:val="24"/>
        </w:rPr>
        <w:t xml:space="preserve"> </w:t>
      </w:r>
      <w:r w:rsidR="004D7027" w:rsidRPr="00354C9D">
        <w:rPr>
          <w:sz w:val="24"/>
          <w:szCs w:val="24"/>
        </w:rPr>
        <w:t>The initial incident was initiated by an employee falling victim to a phishing email which began a series of compromises that eventually spanned multiple continents and resulted in the loss of our crown jewel technology.</w:t>
      </w:r>
    </w:p>
    <w:p w14:paraId="36B2172E" w14:textId="6DE41937" w:rsidR="007E22C9" w:rsidRPr="00354C9D" w:rsidRDefault="007E22C9" w:rsidP="004D7027">
      <w:pPr>
        <w:ind w:firstLine="360"/>
        <w:rPr>
          <w:sz w:val="24"/>
          <w:szCs w:val="24"/>
        </w:rPr>
      </w:pPr>
      <w:r w:rsidRPr="00354C9D">
        <w:rPr>
          <w:sz w:val="24"/>
          <w:szCs w:val="24"/>
        </w:rPr>
        <w:t>Subsequent analysis of the incident has identified both successes and opportunities for improvement in the company’s cybersecurity posture. The goal of th</w:t>
      </w:r>
      <w:r w:rsidR="00694F37">
        <w:rPr>
          <w:sz w:val="24"/>
          <w:szCs w:val="24"/>
        </w:rPr>
        <w:t>is</w:t>
      </w:r>
      <w:r w:rsidRPr="00354C9D">
        <w:rPr>
          <w:sz w:val="24"/>
          <w:szCs w:val="24"/>
        </w:rPr>
        <w:t xml:space="preserve"> document library is to demonstrate RSA Security’s commitment to moving forward by presenting </w:t>
      </w:r>
      <w:r w:rsidR="00FA5FC3">
        <w:rPr>
          <w:sz w:val="24"/>
          <w:szCs w:val="24"/>
        </w:rPr>
        <w:t xml:space="preserve">historical reports, </w:t>
      </w:r>
      <w:r w:rsidRPr="00354C9D">
        <w:rPr>
          <w:sz w:val="24"/>
          <w:szCs w:val="24"/>
        </w:rPr>
        <w:t>updated process documents</w:t>
      </w:r>
      <w:r w:rsidR="00FA5FC3">
        <w:rPr>
          <w:sz w:val="24"/>
          <w:szCs w:val="24"/>
        </w:rPr>
        <w:t>,</w:t>
      </w:r>
      <w:r w:rsidRPr="00354C9D">
        <w:rPr>
          <w:sz w:val="24"/>
          <w:szCs w:val="24"/>
        </w:rPr>
        <w:t xml:space="preserve"> and testing results, including:</w:t>
      </w:r>
    </w:p>
    <w:p w14:paraId="1CCE4009" w14:textId="58AEEFBD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 compendium of incident response terms and definitions, which may be utilized in new and future documentation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TermsandDefinitions</w:t>
      </w:r>
      <w:proofErr w:type="spellEnd"/>
      <w:r w:rsidR="00FC36A2">
        <w:rPr>
          <w:sz w:val="24"/>
          <w:szCs w:val="24"/>
        </w:rPr>
        <w:t>)</w:t>
      </w:r>
    </w:p>
    <w:p w14:paraId="578C2ACA" w14:textId="2522A580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An updated Incident Response Plan and follows the NIST 800-53 Incident Response standard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IncidentResponsePlan</w:t>
      </w:r>
      <w:proofErr w:type="spellEnd"/>
      <w:r w:rsidR="00FC36A2">
        <w:rPr>
          <w:sz w:val="24"/>
          <w:szCs w:val="24"/>
        </w:rPr>
        <w:t>)</w:t>
      </w:r>
    </w:p>
    <w:p w14:paraId="35580028" w14:textId="60E3C8BA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One of our new Incident Response playbooks that demonstrates our attention to standardization during an incident response action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Incident_Response_Playbook</w:t>
      </w:r>
      <w:proofErr w:type="spellEnd"/>
      <w:r w:rsidR="00FC36A2">
        <w:rPr>
          <w:sz w:val="24"/>
          <w:szCs w:val="24"/>
        </w:rPr>
        <w:t>)</w:t>
      </w:r>
    </w:p>
    <w:p w14:paraId="5D2B878C" w14:textId="4BCFB506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threat hunting checklist that is in use by our new </w:t>
      </w:r>
      <w:r w:rsidR="00354C9D">
        <w:rPr>
          <w:sz w:val="24"/>
          <w:szCs w:val="24"/>
        </w:rPr>
        <w:t>S</w:t>
      </w:r>
      <w:r w:rsidRPr="00354C9D">
        <w:rPr>
          <w:sz w:val="24"/>
          <w:szCs w:val="24"/>
        </w:rPr>
        <w:t xml:space="preserve">ecurity </w:t>
      </w:r>
      <w:r w:rsidR="00354C9D">
        <w:rPr>
          <w:sz w:val="24"/>
          <w:szCs w:val="24"/>
        </w:rPr>
        <w:t>O</w:t>
      </w:r>
      <w:r w:rsidRPr="00354C9D">
        <w:rPr>
          <w:sz w:val="24"/>
          <w:szCs w:val="24"/>
        </w:rPr>
        <w:t xml:space="preserve">perations </w:t>
      </w:r>
      <w:r w:rsidR="00354C9D">
        <w:rPr>
          <w:sz w:val="24"/>
          <w:szCs w:val="24"/>
        </w:rPr>
        <w:t>C</w:t>
      </w:r>
      <w:r w:rsidRPr="00354C9D">
        <w:rPr>
          <w:sz w:val="24"/>
          <w:szCs w:val="24"/>
        </w:rPr>
        <w:t>enter global threat hunting team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Threat_Hunting_Checklist</w:t>
      </w:r>
      <w:proofErr w:type="spellEnd"/>
      <w:r w:rsidR="00FC36A2">
        <w:rPr>
          <w:sz w:val="24"/>
          <w:szCs w:val="24"/>
        </w:rPr>
        <w:t>)</w:t>
      </w:r>
    </w:p>
    <w:p w14:paraId="3041BD39" w14:textId="35471DB5" w:rsidR="007E22C9" w:rsidRPr="00354C9D" w:rsidRDefault="00FC36A2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</w:t>
      </w:r>
      <w:r w:rsidR="007E22C9" w:rsidRPr="00354C9D">
        <w:rPr>
          <w:sz w:val="24"/>
          <w:szCs w:val="24"/>
        </w:rPr>
        <w:t xml:space="preserve"> threat intelligence feed using a heat map for analysis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ThreatIntelHeadMap</w:t>
      </w:r>
      <w:proofErr w:type="spellEnd"/>
      <w:r>
        <w:rPr>
          <w:sz w:val="24"/>
          <w:szCs w:val="24"/>
        </w:rPr>
        <w:t>)</w:t>
      </w:r>
      <w:r w:rsidR="00AD6789">
        <w:rPr>
          <w:sz w:val="24"/>
          <w:szCs w:val="24"/>
        </w:rPr>
        <w:t>, as well as a mapping of the identified attacker (APT1) to the MITRE A</w:t>
      </w:r>
      <w:r>
        <w:rPr>
          <w:sz w:val="24"/>
          <w:szCs w:val="24"/>
        </w:rPr>
        <w:t>T</w:t>
      </w:r>
      <w:r w:rsidR="00AD6789">
        <w:rPr>
          <w:sz w:val="24"/>
          <w:szCs w:val="24"/>
        </w:rPr>
        <w:t>T&amp;CK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Threat_Intel_MITRE</w:t>
      </w:r>
      <w:proofErr w:type="spellEnd"/>
      <w:r>
        <w:rPr>
          <w:sz w:val="24"/>
          <w:szCs w:val="24"/>
        </w:rPr>
        <w:t>-ATTACK)</w:t>
      </w:r>
    </w:p>
    <w:p w14:paraId="5656D99A" w14:textId="68C30E97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>The results of our latest leadership-level tabletop exercise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Tabletop_Exercise</w:t>
      </w:r>
      <w:proofErr w:type="spellEnd"/>
      <w:r w:rsidR="00FC36A2">
        <w:rPr>
          <w:sz w:val="24"/>
          <w:szCs w:val="24"/>
        </w:rPr>
        <w:t>)</w:t>
      </w:r>
    </w:p>
    <w:p w14:paraId="36B9548F" w14:textId="4BD1EAD4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SIEM use cases which are being leveraged for the evaluation and acquisition of the new </w:t>
      </w:r>
      <w:r w:rsidR="00694F37">
        <w:rPr>
          <w:sz w:val="24"/>
          <w:szCs w:val="24"/>
        </w:rPr>
        <w:t xml:space="preserve">global </w:t>
      </w:r>
      <w:r w:rsidRPr="00354C9D">
        <w:rPr>
          <w:sz w:val="24"/>
          <w:szCs w:val="24"/>
        </w:rPr>
        <w:t>SIEM solution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SIEM_Use_Cases</w:t>
      </w:r>
      <w:proofErr w:type="spellEnd"/>
      <w:r w:rsidR="00FC36A2">
        <w:rPr>
          <w:sz w:val="24"/>
          <w:szCs w:val="24"/>
        </w:rPr>
        <w:t>)</w:t>
      </w:r>
    </w:p>
    <w:p w14:paraId="760C7C2C" w14:textId="163F680F" w:rsidR="007E22C9" w:rsidRPr="00354C9D" w:rsidRDefault="007E22C9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Incident Investigation Report that was generated as a result of the </w:t>
      </w:r>
      <w:r w:rsidR="004D7027" w:rsidRPr="00354C9D">
        <w:rPr>
          <w:sz w:val="24"/>
          <w:szCs w:val="24"/>
        </w:rPr>
        <w:t>original 2011 attack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Incident_Investigation_Report</w:t>
      </w:r>
      <w:proofErr w:type="spellEnd"/>
      <w:r w:rsidR="00FC36A2">
        <w:rPr>
          <w:sz w:val="24"/>
          <w:szCs w:val="24"/>
        </w:rPr>
        <w:t>)</w:t>
      </w:r>
    </w:p>
    <w:p w14:paraId="4939F44C" w14:textId="3C4C8C66" w:rsidR="004D7027" w:rsidRDefault="004D7027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4C9D">
        <w:rPr>
          <w:sz w:val="24"/>
          <w:szCs w:val="24"/>
        </w:rPr>
        <w:t xml:space="preserve">The updated Incident Response Communication plan that has been recently implemented to ensure that leadership is notified during a </w:t>
      </w:r>
      <w:r w:rsidR="00694F37">
        <w:rPr>
          <w:sz w:val="24"/>
          <w:szCs w:val="24"/>
        </w:rPr>
        <w:t>Severity</w:t>
      </w:r>
      <w:r w:rsidRPr="00354C9D">
        <w:rPr>
          <w:sz w:val="24"/>
          <w:szCs w:val="24"/>
        </w:rPr>
        <w:t xml:space="preserve"> 1 incident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IncidentResponsePlan</w:t>
      </w:r>
      <w:proofErr w:type="spellEnd"/>
      <w:r w:rsidR="00FC36A2">
        <w:rPr>
          <w:sz w:val="24"/>
          <w:szCs w:val="24"/>
        </w:rPr>
        <w:t>)</w:t>
      </w:r>
    </w:p>
    <w:p w14:paraId="72AABBA3" w14:textId="0EB8C17E" w:rsidR="00354C9D" w:rsidRPr="00354C9D" w:rsidRDefault="00354C9D" w:rsidP="007E22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Position descriptions and skills/certifications </w:t>
      </w:r>
      <w:r w:rsidR="00694F37">
        <w:rPr>
          <w:sz w:val="24"/>
          <w:szCs w:val="24"/>
        </w:rPr>
        <w:t xml:space="preserve">expectations </w:t>
      </w:r>
      <w:r>
        <w:rPr>
          <w:sz w:val="24"/>
          <w:szCs w:val="24"/>
        </w:rPr>
        <w:t>of our new Security Operations Center</w:t>
      </w:r>
      <w:r w:rsidR="00694F37">
        <w:rPr>
          <w:sz w:val="24"/>
          <w:szCs w:val="24"/>
        </w:rPr>
        <w:t xml:space="preserve"> personnel.</w:t>
      </w:r>
      <w:r w:rsidR="00FC36A2">
        <w:rPr>
          <w:sz w:val="24"/>
          <w:szCs w:val="24"/>
        </w:rPr>
        <w:t xml:space="preserve"> (</w:t>
      </w:r>
      <w:proofErr w:type="spellStart"/>
      <w:r w:rsidR="00FC36A2">
        <w:rPr>
          <w:sz w:val="24"/>
          <w:szCs w:val="24"/>
        </w:rPr>
        <w:t>SOC_Job_Categories</w:t>
      </w:r>
      <w:proofErr w:type="spellEnd"/>
      <w:r w:rsidR="00FC36A2">
        <w:rPr>
          <w:sz w:val="24"/>
          <w:szCs w:val="24"/>
        </w:rPr>
        <w:t>)</w:t>
      </w:r>
    </w:p>
    <w:p w14:paraId="4C4E96AC" w14:textId="092B19EF" w:rsidR="00354C9D" w:rsidRDefault="00354C9D">
      <w:pPr>
        <w:rPr>
          <w:sz w:val="24"/>
          <w:szCs w:val="24"/>
        </w:rPr>
      </w:pPr>
      <w:r>
        <w:rPr>
          <w:sz w:val="24"/>
          <w:szCs w:val="24"/>
        </w:rPr>
        <w:t>We believe these documents will evidence of our commitment to advancing our security posture</w:t>
      </w:r>
      <w:r w:rsidR="00FA5FC3">
        <w:rPr>
          <w:sz w:val="24"/>
          <w:szCs w:val="24"/>
        </w:rPr>
        <w:t xml:space="preserve"> and continuing to defend against the espionage that has targeted our intellectual property.</w:t>
      </w:r>
    </w:p>
    <w:p w14:paraId="352616CE" w14:textId="6DD2AC48" w:rsidR="00FA5FC3" w:rsidRDefault="00FA5FC3" w:rsidP="00FA5FC3">
      <w:pPr>
        <w:ind w:left="5760"/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40426D90" w14:textId="49058963" w:rsidR="007E22C9" w:rsidRPr="004B3910" w:rsidRDefault="00FA5FC3" w:rsidP="004B3910">
      <w:pPr>
        <w:ind w:left="5760"/>
        <w:rPr>
          <w:sz w:val="24"/>
          <w:szCs w:val="24"/>
        </w:rPr>
      </w:pPr>
      <w:r>
        <w:rPr>
          <w:sz w:val="24"/>
          <w:szCs w:val="24"/>
        </w:rPr>
        <w:t>RSA Security Leadership</w:t>
      </w:r>
    </w:p>
    <w:sectPr w:rsidR="007E22C9" w:rsidRPr="004B39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1284" w14:textId="77777777" w:rsidR="00B63616" w:rsidRDefault="00B63616" w:rsidP="007E22C9">
      <w:pPr>
        <w:spacing w:after="0" w:line="240" w:lineRule="auto"/>
      </w:pPr>
      <w:r>
        <w:separator/>
      </w:r>
    </w:p>
  </w:endnote>
  <w:endnote w:type="continuationSeparator" w:id="0">
    <w:p w14:paraId="33FA73A4" w14:textId="77777777" w:rsidR="00B63616" w:rsidRDefault="00B63616" w:rsidP="007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7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1CFC2" w14:textId="67435A3D" w:rsidR="007E22C9" w:rsidRDefault="007E22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640EC" w14:textId="77777777" w:rsidR="007E22C9" w:rsidRDefault="007E2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0AA1" w14:textId="77777777" w:rsidR="00B63616" w:rsidRDefault="00B63616" w:rsidP="007E22C9">
      <w:pPr>
        <w:spacing w:after="0" w:line="240" w:lineRule="auto"/>
      </w:pPr>
      <w:r>
        <w:separator/>
      </w:r>
    </w:p>
  </w:footnote>
  <w:footnote w:type="continuationSeparator" w:id="0">
    <w:p w14:paraId="2C890CE4" w14:textId="77777777" w:rsidR="00B63616" w:rsidRDefault="00B63616" w:rsidP="007E2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5509" w14:textId="1F00BBFE" w:rsidR="007E22C9" w:rsidRDefault="007E22C9">
    <w:pPr>
      <w:pStyle w:val="Header"/>
    </w:pPr>
    <w: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34B4"/>
    <w:multiLevelType w:val="hybridMultilevel"/>
    <w:tmpl w:val="FDC2B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7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C9"/>
    <w:rsid w:val="000C7E86"/>
    <w:rsid w:val="003303DA"/>
    <w:rsid w:val="00354C9D"/>
    <w:rsid w:val="004B3910"/>
    <w:rsid w:val="004D7027"/>
    <w:rsid w:val="00694F37"/>
    <w:rsid w:val="007C1E5B"/>
    <w:rsid w:val="007E22C9"/>
    <w:rsid w:val="00AD6789"/>
    <w:rsid w:val="00B63616"/>
    <w:rsid w:val="00F44538"/>
    <w:rsid w:val="00FA5FC3"/>
    <w:rsid w:val="00FC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BCA8"/>
  <w15:chartTrackingRefBased/>
  <w15:docId w15:val="{FA911A40-4E39-46DB-88A0-801443D3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2C9"/>
  </w:style>
  <w:style w:type="paragraph" w:styleId="Footer">
    <w:name w:val="footer"/>
    <w:basedOn w:val="Normal"/>
    <w:link w:val="FooterChar"/>
    <w:uiPriority w:val="99"/>
    <w:unhideWhenUsed/>
    <w:rsid w:val="007E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2C9"/>
  </w:style>
  <w:style w:type="paragraph" w:styleId="ListParagraph">
    <w:name w:val="List Paragraph"/>
    <w:basedOn w:val="Normal"/>
    <w:uiPriority w:val="34"/>
    <w:qFormat/>
    <w:rsid w:val="007E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7</cp:revision>
  <dcterms:created xsi:type="dcterms:W3CDTF">2023-11-09T01:21:00Z</dcterms:created>
  <dcterms:modified xsi:type="dcterms:W3CDTF">2023-11-12T14:46:00Z</dcterms:modified>
</cp:coreProperties>
</file>