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000000"/>
          <w:sz w:val="48"/>
          <w:u w:val="none"/>
        </w:rPr>
        <w:t xml:space="preserve">Sales Handoff Doc: </w:t>
      </w:r>
      <w:r>
        <w:rPr>
          <w:rFonts w:ascii="Arial" w:hAnsi="Arial" w:eastAsia="Arial"/>
          <w:b/>
          <w:color w:val="004BDE"/>
          <w:sz w:val="48"/>
          <w:u w:val="none"/>
        </w:rPr>
        <w:t>Spokeo June 3, 2026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Signature Date: </w:t>
      </w:r>
      <w:r>
        <w:rPr>
          <w:rFonts w:ascii="Arial" w:hAnsi="Arial" w:eastAsia="Arial"/>
          <w:b w:val="0"/>
          <w:color w:val="004BDE"/>
          <w:u w:val="none"/>
        </w:rPr>
        <w:t>[Signature Date]</w:t>
      </w:r>
      <w:r>
        <w:rPr>
          <w:rFonts w:ascii="Arial" w:hAnsi="Arial" w:eastAsia="Arial"/>
          <w:b w:val="0"/>
          <w:color w:val="000000"/>
          <w:u w:val="none"/>
        </w:rPr>
        <w:t xml:space="preserve"> | </w:t>
      </w:r>
      <w:r>
        <w:rPr>
          <w:rFonts w:ascii="Arial" w:hAnsi="Arial" w:eastAsia="Arial"/>
          <w:b/>
          <w:color w:val="000000"/>
          <w:u w:val="none"/>
        </w:rPr>
        <w:t xml:space="preserve">Launch Date: </w:t>
      </w:r>
      <w:r>
        <w:rPr>
          <w:rFonts w:ascii="Arial" w:hAnsi="Arial" w:eastAsia="Arial"/>
          <w:b/>
          <w:color w:val="004BDE"/>
          <w:u w:val="none"/>
        </w:rPr>
        <w:t>February 16, 2026</w:t>
      </w:r>
      <w:r>
        <w:rPr>
          <w:rFonts w:ascii="Arial" w:hAnsi="Arial" w:eastAsia="Arial"/>
          <w:b w:val="0"/>
          <w:color w:val="000000"/>
          <w:u w:val="none"/>
        </w:rPr>
        <w:t xml:space="preserve"> | </w:t>
      </w:r>
      <w:r>
        <w:rPr>
          <w:rFonts w:ascii="Arial" w:hAnsi="Arial" w:eastAsia="Arial"/>
          <w:b/>
          <w:color w:val="000000"/>
          <w:u w:val="none"/>
        </w:rPr>
        <w:t xml:space="preserve">KO Date: 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Assigned CSM: </w:t>
      </w:r>
      <w:r>
        <w:rPr>
          <w:rFonts w:ascii="Arial" w:hAnsi="Arial" w:eastAsia="Arial"/>
          <w:b w:val="0"/>
          <w:color w:val="004BDE"/>
          <w:u w:val="none"/>
        </w:rPr>
        <w:t>matthew.brown@folloze.com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Renewal Date: </w:t>
      </w:r>
      <w:r>
        <w:rPr>
          <w:rFonts w:ascii="Arial" w:hAnsi="Arial" w:eastAsia="Arial"/>
          <w:b w:val="0"/>
          <w:color w:val="004BDE"/>
          <w:u w:val="none"/>
        </w:rPr>
        <w:t>January 31, 2028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Company Overview: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https://www.spokeo.com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Spokeo is a Pasadena-based people search and people intelligence platform founded in 2006, with about 160 employees. It helps millions of monthly visitors reconnect, verify identities, and protect against fraud using public-record data and profiles.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Package Details: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Spokeo plans to use Folloze in-app for a B2B ABM program, sales landing pages, and agile campaigns, with HubSpot integration for email/forms and engagement tracking. The first launchable board is a B2B ABM campaign for legal and law-enforcement vertical messaging.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Contract Link: </w:t>
      </w:r>
      <w:r>
        <w:rPr>
          <w:rFonts w:ascii="Arial" w:hAnsi="Arial" w:eastAsia="Arial"/>
          <w:b w:val="0"/>
          <w:color w:val="004BDE"/>
          <w:u w:val="none"/>
        </w:rPr>
        <w:t>https://drive.google.com/file/d/1DEdpK4aIXeBJ8CRRzoTJFHm54q5zaYww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</w:t>
      </w:r>
      <w:r>
        <w:rPr>
          <w:rFonts w:ascii="Arial" w:hAnsi="Arial" w:eastAsia="Arial"/>
          <w:b w:val="0"/>
          <w:color w:val="000000"/>
          <w:u w:val="none"/>
        </w:rPr>
        <w:t xml:space="preserve">Contract Starts </w:t>
      </w:r>
      <w:r>
        <w:rPr>
          <w:rFonts w:ascii="Arial" w:hAnsi="Arial" w:eastAsia="Arial"/>
          <w:b w:val="0"/>
          <w:color w:val="004BDE"/>
          <w:u w:val="none"/>
        </w:rPr>
        <w:t>February 1, 2026</w:t>
      </w:r>
      <w:r>
        <w:rPr>
          <w:rFonts w:ascii="Arial" w:hAnsi="Arial" w:eastAsia="Arial"/>
          <w:b w:val="0"/>
          <w:color w:val="000000"/>
          <w:u w:val="none"/>
        </w:rPr>
        <w:t xml:space="preserve"> &amp; Ends </w:t>
      </w:r>
      <w:r>
        <w:rPr>
          <w:rFonts w:ascii="Arial" w:hAnsi="Arial" w:eastAsia="Arial"/>
          <w:b w:val="0"/>
          <w:color w:val="004BDE"/>
          <w:u w:val="none"/>
        </w:rPr>
        <w:t>January 31, 2028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</w:t>
      </w:r>
      <w:r>
        <w:rPr>
          <w:rFonts w:ascii="Arial" w:hAnsi="Arial" w:eastAsia="Arial"/>
          <w:b w:val="0"/>
          <w:color w:val="000000"/>
          <w:u w:val="none"/>
        </w:rPr>
        <w:t xml:space="preserve">CS Package: </w:t>
      </w:r>
      <w:r>
        <w:rPr>
          <w:rFonts w:ascii="Arial" w:hAnsi="Arial" w:eastAsia="Arial"/>
          <w:b w:val="0"/>
          <w:color w:val="004BDE"/>
          <w:u w:val="none"/>
        </w:rPr>
        <w:t>Starter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</w:t>
      </w:r>
      <w:r>
        <w:rPr>
          <w:rFonts w:ascii="Arial" w:hAnsi="Arial" w:eastAsia="Arial"/>
          <w:b w:val="0"/>
          <w:color w:val="000000"/>
          <w:u w:val="none"/>
        </w:rPr>
        <w:t xml:space="preserve">Platform Package: </w:t>
      </w:r>
      <w:r>
        <w:rPr>
          <w:rFonts w:ascii="Arial" w:hAnsi="Arial" w:eastAsia="Arial"/>
          <w:b w:val="0"/>
          <w:color w:val="004BDE"/>
          <w:u w:val="none"/>
        </w:rPr>
        <w:t>Custom Professional (Annual)</w:t>
      </w:r>
    </w:p>
    <w:p>
      <w:pPr>
        <w:spacing w:after="120"/>
        <w:ind w:left="86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○ </w:t>
      </w:r>
      <w:r>
        <w:rPr>
          <w:rFonts w:ascii="Arial" w:hAnsi="Arial" w:eastAsia="Arial"/>
          <w:b w:val="0"/>
          <w:color w:val="000000"/>
          <w:u w:val="none"/>
        </w:rPr>
        <w:t>Licenses</w:t>
      </w:r>
    </w:p>
    <w:p>
      <w:pPr>
        <w:spacing w:after="120"/>
        <w:ind w:left="122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■ </w:t>
      </w:r>
      <w:r>
        <w:rPr>
          <w:rFonts w:ascii="Arial" w:hAnsi="Arial" w:eastAsia="Arial"/>
          <w:b w:val="0"/>
          <w:color w:val="000000"/>
          <w:u w:val="none"/>
        </w:rPr>
        <w:t xml:space="preserve">Creator Licenses: </w:t>
      </w:r>
      <w:r>
        <w:rPr>
          <w:rFonts w:ascii="Arial" w:hAnsi="Arial" w:eastAsia="Arial"/>
          <w:b w:val="0"/>
          <w:color w:val="004BDE"/>
          <w:u w:val="none"/>
        </w:rPr>
        <w:t>1</w:t>
      </w:r>
    </w:p>
    <w:p>
      <w:pPr>
        <w:spacing w:after="120"/>
        <w:ind w:left="122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■ </w:t>
      </w:r>
      <w:r>
        <w:rPr>
          <w:rFonts w:ascii="Arial" w:hAnsi="Arial" w:eastAsia="Arial"/>
          <w:b w:val="0"/>
          <w:color w:val="000000"/>
          <w:u w:val="none"/>
        </w:rPr>
        <w:t xml:space="preserve">Collaborator Licenses: </w:t>
      </w:r>
      <w:r>
        <w:rPr>
          <w:rFonts w:ascii="Arial" w:hAnsi="Arial" w:eastAsia="Arial"/>
          <w:b w:val="0"/>
          <w:color w:val="004BDE"/>
          <w:u w:val="none"/>
        </w:rPr>
        <w:t>[#]</w:t>
      </w:r>
    </w:p>
    <w:p>
      <w:pPr>
        <w:spacing w:after="120"/>
        <w:ind w:left="122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■ </w:t>
      </w:r>
      <w:r>
        <w:rPr>
          <w:rFonts w:ascii="Arial" w:hAnsi="Arial" w:eastAsia="Arial"/>
          <w:b w:val="0"/>
          <w:color w:val="000000"/>
          <w:u w:val="none"/>
        </w:rPr>
        <w:t xml:space="preserve">Associate Licenses: </w:t>
      </w:r>
      <w:r>
        <w:rPr>
          <w:rFonts w:ascii="Arial" w:hAnsi="Arial" w:eastAsia="Arial"/>
          <w:b w:val="0"/>
          <w:color w:val="004BDE"/>
          <w:u w:val="none"/>
        </w:rPr>
        <w:t>[#]</w:t>
      </w:r>
    </w:p>
    <w:p>
      <w:pPr>
        <w:spacing w:after="120"/>
        <w:ind w:left="86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○ </w:t>
      </w:r>
      <w:r>
        <w:rPr>
          <w:rFonts w:ascii="Arial" w:hAnsi="Arial" w:eastAsia="Arial"/>
          <w:b w:val="0"/>
          <w:color w:val="000000"/>
          <w:u w:val="none"/>
        </w:rPr>
        <w:t>Modules Purchased: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☐ Events Module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☑ ABX Module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☐ Sales Module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☐ Web Engager Module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☐ MCP</w:t>
      </w:r>
    </w:p>
    <w:p>
      <w:pPr>
        <w:spacing w:after="120"/>
        <w:ind w:left="1224"/>
      </w:pPr>
      <w:r>
        <w:rPr>
          <w:rFonts w:ascii="Arial" w:hAnsi="Arial" w:eastAsia="Arial"/>
          <w:b w:val="0"/>
          <w:color w:val="000000"/>
          <w:u w:val="none"/>
        </w:rPr>
        <w:t>☐ API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</w:t>
      </w:r>
      <w:r>
        <w:rPr>
          <w:rFonts w:ascii="Arial" w:hAnsi="Arial" w:eastAsia="Arial"/>
          <w:b w:val="0"/>
          <w:color w:val="000000"/>
          <w:u w:val="none"/>
        </w:rPr>
        <w:t xml:space="preserve">Additional Info: </w:t>
      </w:r>
      <w:r>
        <w:rPr>
          <w:rFonts w:ascii="Arial" w:hAnsi="Arial" w:eastAsia="Arial"/>
          <w:b w:val="0"/>
          <w:color w:val="004BDE"/>
          <w:u w:val="none"/>
        </w:rPr>
        <w:t>Includes HubSpot integration, Content Engine, AI Campaign Builder with 2,000 AI credits/year, and waived one-time onboarding fee. Annual payments due upfront, Net 30.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User Details: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Current Folloze Champion: </w:t>
      </w:r>
      <w:r>
        <w:rPr>
          <w:rFonts w:ascii="Arial" w:hAnsi="Arial" w:eastAsia="Arial"/>
          <w:b w:val="0"/>
          <w:color w:val="004BDE"/>
          <w:u w:val="none"/>
        </w:rPr>
        <w:t>Adil Haider / ahaider@spokeo.com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</w:t>
      </w:r>
      <w:r>
        <w:rPr>
          <w:rFonts w:ascii="Arial" w:hAnsi="Arial" w:eastAsia="Arial"/>
          <w:b w:val="0"/>
          <w:color w:val="004BDE"/>
          <w:u w:val="none"/>
        </w:rPr>
        <w:t xml:space="preserve">Lead B2B Growth &amp; Marketing; </w:t>
      </w:r>
      <w:r>
        <w:rPr>
          <w:rFonts w:ascii="Arial" w:hAnsi="Arial" w:eastAsia="Arial"/>
          <w:b w:val="0"/>
          <w:color w:val="004BDE"/>
          <w:u w:val="none"/>
        </w:rPr>
        <w:t>[LinkedIn URL]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Initial Users: </w:t>
      </w:r>
      <w:r>
        <w:rPr>
          <w:rFonts w:ascii="Arial" w:hAnsi="Arial" w:eastAsia="Arial"/>
          <w:b w:val="0"/>
          <w:color w:val="004BDE"/>
          <w:u w:val="none"/>
        </w:rPr>
        <w:t>ahaider@spokeo.com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Other Key Stakeholders: </w:t>
      </w:r>
      <w:r>
        <w:rPr>
          <w:rFonts w:ascii="Arial" w:hAnsi="Arial" w:eastAsia="Arial"/>
          <w:b w:val="0"/>
          <w:color w:val="004BDE"/>
          <w:u w:val="none"/>
        </w:rPr>
        <w:t>Mike Daly, CTO / technical implementation owner; Victor Yeh, SVP of Marketing; Christopher Wallace, Senior Manager, Email Marketing; Jason Matthes, General Counsel / legal contact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Primary Use Case(s):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ABM Program - B2B: launch legal/law-enforcement vertical campaigns to test new B2B messaging and ICP selection through engagement and conversion signals.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Sales Landing Pages: enable sales outreach pages and, over time, let sales stand up landing pages without waiting on the development team.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Agile Campaigns: quickly test vertical and topical messaging, including political-landscape messaging, with lightweight campaign launches.</w:t>
      </w:r>
    </w:p>
    <w:p>
      <w:pPr>
        <w:spacing w:after="120"/>
      </w:pPr>
      <w:r>
        <w:rPr>
          <w:rFonts w:ascii="Arial" w:hAnsi="Arial" w:eastAsia="Arial"/>
          <w:b w:val="0"/>
          <w:color w:val="004BDE"/>
          <w:u w:val="none"/>
        </w:rPr>
        <w:t>Excitement is speed-to-launch, no-dev landing page creation, HubSpot-connected engagement data, and account intelligence. Friction includes limited content/imagery, brand-refresh timing, HubSpot form setup, and content/resource-section confusion.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Current Tech Stack: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CRM: </w:t>
      </w:r>
      <w:r>
        <w:rPr>
          <w:rFonts w:ascii="Arial" w:hAnsi="Arial" w:eastAsia="Arial"/>
          <w:b w:val="0"/>
          <w:color w:val="004BDE"/>
          <w:u w:val="none"/>
        </w:rPr>
        <w:t>Salesforce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Data Provider: </w:t>
      </w:r>
      <w:r>
        <w:rPr>
          <w:rFonts w:ascii="Arial" w:hAnsi="Arial" w:eastAsia="Arial"/>
          <w:b w:val="0"/>
          <w:color w:val="004BDE"/>
          <w:u w:val="none"/>
        </w:rPr>
        <w:t>6sense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Email: </w:t>
      </w:r>
      <w:r>
        <w:rPr>
          <w:rFonts w:ascii="Arial" w:hAnsi="Arial" w:eastAsia="Arial"/>
          <w:b w:val="0"/>
          <w:color w:val="004BDE"/>
          <w:u w:val="none"/>
        </w:rPr>
        <w:t>HubSpot; Salesforce Marketing Cloud for B2C side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Forms: </w:t>
      </w:r>
      <w:r>
        <w:rPr>
          <w:rFonts w:ascii="Arial" w:hAnsi="Arial" w:eastAsia="Arial"/>
          <w:b w:val="0"/>
          <w:color w:val="004BDE"/>
          <w:u w:val="none"/>
        </w:rPr>
        <w:t>HubSpot forms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SSO: </w:t>
      </w:r>
      <w:r>
        <w:rPr>
          <w:rFonts w:ascii="Arial" w:hAnsi="Arial" w:eastAsia="Arial"/>
          <w:b w:val="0"/>
          <w:color w:val="004BDE"/>
          <w:u w:val="none"/>
        </w:rPr>
        <w:t>[e.g. none, custom, Azure, Okta]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Additional Integrations: </w:t>
      </w:r>
      <w:r>
        <w:rPr>
          <w:rFonts w:ascii="Arial" w:hAnsi="Arial" w:eastAsia="Arial"/>
          <w:b w:val="0"/>
          <w:color w:val="004BDE"/>
          <w:u w:val="none"/>
        </w:rPr>
        <w:t>HubSpot integration, Osano cookie compliance, GA/GTM tracking, subdomain/SSL, WordPress CMS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Other Sales Notes: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For onboarding: </w:t>
      </w:r>
      <w:r>
        <w:rPr>
          <w:rFonts w:ascii="Arial" w:hAnsi="Arial" w:eastAsia="Arial"/>
          <w:b w:val="0"/>
          <w:color w:val="004BDE"/>
          <w:u w:val="none"/>
        </w:rPr>
        <w:t>Adil committed to 3-5 hours of learning; start with Academy, ABX module, and a strategy workshop. Mike owns subdomain, SSL/cookie compliance, GA/GTM, and technical setup.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For CSM: </w:t>
      </w:r>
      <w:r>
        <w:rPr>
          <w:rFonts w:ascii="Arial" w:hAnsi="Arial" w:eastAsia="Arial"/>
          <w:b w:val="0"/>
          <w:color w:val="004BDE"/>
          <w:u w:val="none"/>
        </w:rPr>
        <w:t>Customer is transitioning from B2C to B2B with Adil as a one-person B2B marketing team. Keep onboarding practical, content-light, and focused on first-launch momentum.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Supporting Links:</w:t>
      </w:r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Salesforce Link: </w:t>
      </w:r>
      <w:hyperlink r:id="rId9">
        <w:r>
          <w:rPr>
            <w:rFonts w:ascii="Arial" w:hAnsi="Arial"/>
            <w:color w:val="0563C1"/>
            <w:u w:val="single"/>
          </w:rPr>
          <w:t>https://folloze.my.salesforce.com/006Qj00000n2VulIAE</w:t>
        </w:r>
      </w:hyperlink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Sales Research Link: </w:t>
      </w:r>
      <w:hyperlink r:id="rId10">
        <w:r>
          <w:rPr>
            <w:rFonts w:ascii="Arial" w:hAnsi="Arial"/>
            <w:color w:val="0563C1"/>
            <w:u w:val="single"/>
          </w:rPr>
          <w:t>https://docs.google.com/document/d/1qJ8TSbW8lI2svQPv7FBJbHPTODPJqR30aDnSDBU9QQc</w:t>
        </w:r>
      </w:hyperlink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Granola Folder: </w:t>
      </w:r>
      <w:hyperlink r:id="rId11">
        <w:r>
          <w:rPr>
            <w:rFonts w:ascii="Arial" w:hAnsi="Arial"/>
            <w:color w:val="0563C1"/>
            <w:u w:val="single"/>
          </w:rPr>
          <w:t>https://notes.granola.ai/t/456d7918-1451-470c-aa00-f1ffd7abcf3b</w:t>
        </w:r>
      </w:hyperlink>
    </w:p>
    <w:p>
      <w:pPr>
        <w:spacing w:after="120"/>
        <w:ind w:left="504" w:hanging="259"/>
      </w:pPr>
      <w:r>
        <w:rPr>
          <w:rFonts w:ascii="Arial" w:hAnsi="Arial" w:eastAsia="Arial"/>
          <w:b w:val="0"/>
          <w:color w:val="000000"/>
          <w:u w:val="none"/>
        </w:rPr>
        <w:t xml:space="preserve">• Onboarding Clickup Card: 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after="120"/>
      </w:pPr>
      <w:r>
        <w:rPr>
          <w:rFonts w:ascii="Arial" w:hAnsi="Arial" w:eastAsia="Arial"/>
          <w:b/>
          <w:color w:val="000000"/>
          <w:sz w:val="28"/>
          <w:u w:val="none"/>
        </w:rPr>
        <w:t>LLM Note:</w:t>
      </w:r>
    </w:p>
    <w:p>
      <w:pPr>
        <w:spacing w:after="120"/>
      </w:pPr>
      <w:r>
        <w:rPr>
          <w:rFonts w:ascii="Arial" w:hAnsi="Arial" w:eastAsia="Arial"/>
          <w:b w:val="0"/>
          <w:color w:val="000000"/>
          <w:u w:val="none"/>
        </w:rPr>
        <w:t xml:space="preserve">Generated by: </w:t>
      </w:r>
      <w:r>
        <w:rPr>
          <w:rFonts w:ascii="Arial" w:hAnsi="Arial" w:eastAsia="Arial"/>
          <w:b w:val="0"/>
          <w:color w:val="004BDE"/>
          <w:u w:val="none"/>
        </w:rPr>
        <w:t>gpt-5-codex</w:t>
      </w:r>
    </w:p>
    <w:p>
      <w:pPr>
        <w:spacing w:after="120"/>
      </w:pPr>
      <w:r>
        <w:rPr>
          <w:rFonts w:ascii="Arial" w:hAnsi="Arial" w:eastAsia="Arial"/>
          <w:b w:val="0"/>
          <w:color w:val="E07000"/>
          <w:u w:val="none"/>
        </w:rPr>
        <w:t>Signature date not visible in order form; live Granola sync unavailable, used Drive/local exports. Review content/resource setup and HubSpot form details before O&amp;E send.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lloze.my.salesforce.com/006Qj00000n2VulIAE" TargetMode="External"/><Relationship Id="rId10" Type="http://schemas.openxmlformats.org/officeDocument/2006/relationships/hyperlink" Target="https://docs.google.com/document/d/1qJ8TSbW8lI2svQPv7FBJbHPTODPJqR30aDnSDBU9QQc" TargetMode="External"/><Relationship Id="rId11" Type="http://schemas.openxmlformats.org/officeDocument/2006/relationships/hyperlink" Target="https://notes.granola.ai/t/456d7918-1451-470c-aa00-f1ffd7abcf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