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80"/>
        <w:jc w:val="center"/>
      </w:pPr>
      <w:r>
        <w:rPr>
          <w:b/>
          <w:color w:val="B68A2C"/>
          <w:sz w:val="20"/>
        </w:rPr>
        <w:t>OPERATOR GUIDE</w:t>
      </w:r>
    </w:p>
    <w:p>
      <w:pPr>
        <w:spacing w:after="200"/>
        <w:jc w:val="center"/>
      </w:pPr>
      <w:r>
        <w:rPr>
          <w:b/>
          <w:color w:val="17365D"/>
          <w:sz w:val="54"/>
        </w:rPr>
        <w:t>How to Build a Customer-Specific</w:t>
        <w:br/>
        <w:t>12-Month ABX Program</w:t>
      </w:r>
    </w:p>
    <w:p>
      <w:pPr>
        <w:spacing w:after="680"/>
        <w:jc w:val="center"/>
      </w:pPr>
      <w:r>
        <w:rPr>
          <w:color w:val="5B6573"/>
          <w:sz w:val="26"/>
        </w:rPr>
        <w:t>A repeatable walkthrough using the Folloze Academy ABX Blueprint, customer source materials, account intelligence, governed buyer experiences, and measurable revenue outcomes</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Designed for: </w:t>
      </w:r>
      <w:r>
        <w:rPr>
          <w:color w:val="1F2937"/>
        </w:rPr>
        <w:t>ABM leaders, demand generation, product marketing, RevOps, field marketing, BDR leadership, sales, and Folloze experience owners.</w:t>
      </w:r>
    </w:p>
    <w:p>
      <w:pPr>
        <w:spacing w:before="720"/>
        <w:jc w:val="center"/>
      </w:pPr>
      <w:r>
        <w:rPr>
          <w:i/>
          <w:color w:val="5B6573"/>
          <w:sz w:val="20"/>
        </w:rPr>
        <w:t>Reusable template | Customer-neutral | Replace placeholders before delivery</w:t>
      </w:r>
    </w:p>
    <w:p>
      <w:r>
        <w:br w:type="page"/>
      </w:r>
    </w:p>
    <w:p>
      <w:pPr>
        <w:pStyle w:val="Heading1"/>
      </w:pPr>
      <w:r>
        <w:t>1. Purpose and final deliverables</w:t>
      </w:r>
    </w:p>
    <w:p>
      <w:r>
        <w:t>This guide explains how to reproduce a rigorous, customer-specific ABX program without copying another customer's strategy, claims, assets, metrics, or assumptions. The method is reusable; the evidence and recommendations must be rebuilt from each customer's own files and systems.</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Non-negotiable principle: </w:t>
      </w:r>
      <w:r>
        <w:rPr>
          <w:color w:val="1F2937"/>
        </w:rPr>
        <w:t>Use the Academy Blueprint and this operating method as the reusable framework. Treat every customer document, metric, proof point, persona insight, stage threshold, and technology decision as customer-specific evidence that must be revalidated.</w:t>
      </w:r>
    </w:p>
    <w:p>
      <w:pPr>
        <w:pStyle w:val="Heading2"/>
      </w:pPr>
      <w:r>
        <w:t>Expected outputs</w:t>
      </w:r>
    </w:p>
    <w:p>
      <w:pPr>
        <w:pStyle w:val="ListBullet"/>
        <w:spacing w:after="80"/>
      </w:pPr>
      <w:r>
        <w:t>Executive program summary: segment, objective, campaign thesis, acquisition motions, funnel, value assumptions, and governance.</w:t>
      </w:r>
    </w:p>
    <w:p>
      <w:pPr>
        <w:pStyle w:val="ListBullet"/>
        <w:spacing w:after="80"/>
      </w:pPr>
      <w:r>
        <w:t>Completed ABX Blueprint across Alignment, Experiences, Engagement, and Signals.</w:t>
      </w:r>
    </w:p>
    <w:p>
      <w:pPr>
        <w:pStyle w:val="ListBullet"/>
        <w:spacing w:after="80"/>
      </w:pPr>
      <w:r>
        <w:t>Twelve-month campaign calendar with personas, content, channels, Folloze experiences, CTAs, opportunity targets, and commercial values.</w:t>
      </w:r>
    </w:p>
    <w:p>
      <w:pPr>
        <w:pStyle w:val="ListBullet"/>
        <w:spacing w:after="80"/>
      </w:pPr>
      <w:r>
        <w:t>Persona and buyer-stage journey, content map, dynamic treatment rules, technology/data model, and measurement plan.</w:t>
      </w:r>
    </w:p>
    <w:p>
      <w:pPr>
        <w:pStyle w:val="ListBullet"/>
        <w:spacing w:after="80"/>
      </w:pPr>
      <w:r>
        <w:t>Copy-ready prompts for boards, advertisements, email sequences, localization, account research, and optimization.</w:t>
      </w:r>
    </w:p>
    <w:p>
      <w:pPr>
        <w:pStyle w:val="ListBullet"/>
        <w:spacing w:after="80"/>
      </w:pPr>
      <w:r>
        <w:t>Crawl-Walk-Run roadmap, launch checklist, ownership model, risks, assumptions, and source log.</w:t>
      </w:r>
    </w:p>
    <w:p>
      <w:pPr>
        <w:pStyle w:val="Heading2"/>
      </w:pPr>
      <w:r>
        <w:t>Recommended working artifact</w:t>
      </w:r>
    </w:p>
    <w:p>
      <w:r>
        <w:t>Create one working workbook by copying the Folloze Academy ABX Blueprint. Add execution tabs only after the customer evidence has been collected and the segment and objective are agreed. Keep one companion document for decisions, assumptions, and implementation guidance.</w:t>
      </w:r>
    </w:p>
    <w:p>
      <w:pPr>
        <w:pStyle w:val="Heading2"/>
      </w:pPr>
      <w:r>
        <w:t>Definition of done</w:t>
      </w:r>
    </w:p>
    <w:p>
      <w:pPr>
        <w:pStyle w:val="ListBullet"/>
        <w:spacing w:after="80"/>
      </w:pPr>
      <w:r>
        <w:t>The target segment is explicit, bounded, owned, and feasible to serve.</w:t>
      </w:r>
    </w:p>
    <w:p>
      <w:pPr>
        <w:pStyle w:val="ListBullet"/>
        <w:spacing w:after="80"/>
      </w:pPr>
      <w:r>
        <w:t>Every campaign connects an audience, message, content path, Folloze experience, channel mix, CTA, owner, signal rule, and measurement outcome.</w:t>
      </w:r>
    </w:p>
    <w:p>
      <w:pPr>
        <w:pStyle w:val="ListBullet"/>
        <w:spacing w:after="80"/>
      </w:pPr>
      <w:r>
        <w:t>Account progression and opportunity creation replace raw lead volume as the operating metrics.</w:t>
      </w:r>
    </w:p>
    <w:p>
      <w:pPr>
        <w:pStyle w:val="ListBullet"/>
        <w:spacing w:after="80"/>
      </w:pPr>
      <w:r>
        <w:t>All customer facts and external claims can be traced to an approved source.</w:t>
      </w:r>
    </w:p>
    <w:p>
      <w:pPr>
        <w:pStyle w:val="ListBullet"/>
        <w:spacing w:after="80"/>
      </w:pPr>
      <w:r>
        <w:t>No placeholders, copied customer claims, unsupported benchmarks, or unverified technology assumptions remain in the delivery version.</w:t>
      </w:r>
    </w:p>
    <w:p>
      <w:r>
        <w:br w:type="page"/>
      </w:r>
    </w:p>
    <w:p>
      <w:pPr>
        <w:pStyle w:val="Heading1"/>
      </w:pPr>
      <w:r>
        <w:t>2. Workspace and folder placeholders</w:t>
      </w:r>
    </w:p>
    <w:p>
      <w:r>
        <w:t>Create or identify the folders below before research begins. Replace each placeholder with the customer's actual folder URL or file ID. If a folder does not exist, record that as a content or data gap rather than inventing an input.</w:t>
      </w:r>
    </w:p>
    <w:tbl>
      <w:tblPr>
        <w:tblStyle w:val="TableGrid"/>
        <w:tblW w:type="dxa" w:w="9360"/>
        <w:jc w:val="left"/>
        <w:tblLayout w:type="fixed"/>
        <w:tblLook w:firstColumn="1" w:firstRow="1" w:lastColumn="0" w:lastRow="0" w:noHBand="0" w:noVBand="1" w:val="04A0"/>
        <w:tblInd w:w="120" w:type="dxa"/>
      </w:tblPr>
      <w:tblGrid>
        <w:gridCol w:w="2500"/>
        <w:gridCol w:w="3500"/>
        <w:gridCol w:w="3360"/>
      </w:tblGrid>
      <w:tr>
        <w:trPr>
          <w:tblHeader w:val="true"/>
        </w:trPr>
        <w:tc>
          <w:tcPr>
            <w:tcW w:type="dxa" w:w="2500"/>
            <w:vAlign w:val="center"/>
            <w:tcMar>
              <w:top w:w="90" w:type="dxa"/>
              <w:start w:w="120" w:type="dxa"/>
              <w:bottom w:w="90" w:type="dxa"/>
              <w:end w:w="120" w:type="dxa"/>
            </w:tcMar>
            <w:shd w:fill="E8EEF5"/>
          </w:tcPr>
          <w:p>
            <w:pPr>
              <w:spacing w:after="0"/>
            </w:pPr>
            <w:r>
              <w:rPr>
                <w:b/>
                <w:color w:val="17365D"/>
                <w:sz w:val="17"/>
              </w:rPr>
              <w:t>Placeholder</w:t>
            </w:r>
          </w:p>
        </w:tc>
        <w:tc>
          <w:tcPr>
            <w:tcW w:type="dxa" w:w="3500"/>
            <w:vAlign w:val="center"/>
            <w:tcMar>
              <w:top w:w="90" w:type="dxa"/>
              <w:start w:w="120" w:type="dxa"/>
              <w:bottom w:w="90" w:type="dxa"/>
              <w:end w:w="120" w:type="dxa"/>
            </w:tcMar>
            <w:shd w:fill="E8EEF5"/>
          </w:tcPr>
          <w:p>
            <w:pPr>
              <w:spacing w:after="0"/>
            </w:pPr>
            <w:r>
              <w:rPr>
                <w:b/>
                <w:color w:val="17365D"/>
                <w:sz w:val="17"/>
              </w:rPr>
              <w:t>Expected contents</w:t>
            </w:r>
          </w:p>
        </w:tc>
        <w:tc>
          <w:tcPr>
            <w:tcW w:type="dxa" w:w="3360"/>
            <w:vAlign w:val="center"/>
            <w:tcMar>
              <w:top w:w="90" w:type="dxa"/>
              <w:start w:w="120" w:type="dxa"/>
              <w:bottom w:w="90" w:type="dxa"/>
              <w:end w:w="120" w:type="dxa"/>
            </w:tcMar>
            <w:shd w:fill="E8EEF5"/>
          </w:tcPr>
          <w:p>
            <w:pPr>
              <w:spacing w:after="0"/>
            </w:pPr>
            <w:r>
              <w:rPr>
                <w:b/>
                <w:color w:val="17365D"/>
                <w:sz w:val="17"/>
              </w:rPr>
              <w:t>How it is used</w:t>
            </w:r>
          </w:p>
        </w:tc>
      </w:tr>
      <w:tr>
        <w:tc>
          <w:tcPr>
            <w:tcW w:type="dxa" w:w="2500"/>
          </w:tcPr>
          <w:p>
            <w:pPr>
              <w:spacing w:after="0" w:line="259" w:lineRule="auto"/>
            </w:pPr>
            <w:r>
              <w:rPr>
                <w:color w:val="1F2937"/>
                <w:sz w:val="17"/>
              </w:rPr>
              <w:t>[CUSTOMER_ROOT_FOLDER]</w:t>
            </w:r>
          </w:p>
        </w:tc>
        <w:tc>
          <w:tcPr>
            <w:tcW w:type="dxa" w:w="3500"/>
          </w:tcPr>
          <w:p>
            <w:pPr>
              <w:spacing w:after="0" w:line="259" w:lineRule="auto"/>
            </w:pPr>
            <w:r>
              <w:rPr>
                <w:color w:val="1F2937"/>
                <w:sz w:val="17"/>
              </w:rPr>
              <w:t>Master workspace for the engagement</w:t>
            </w:r>
          </w:p>
        </w:tc>
        <w:tc>
          <w:tcPr>
            <w:tcW w:type="dxa" w:w="3360"/>
          </w:tcPr>
          <w:p>
            <w:pPr>
              <w:spacing w:after="0" w:line="259" w:lineRule="auto"/>
            </w:pPr>
            <w:r>
              <w:rPr>
                <w:color w:val="1F2937"/>
                <w:sz w:val="17"/>
              </w:rPr>
              <w:t>All files below</w:t>
            </w:r>
          </w:p>
        </w:tc>
      </w:tr>
      <w:tr>
        <w:tc>
          <w:tcPr>
            <w:tcW w:type="dxa" w:w="2500"/>
          </w:tcPr>
          <w:p>
            <w:pPr>
              <w:spacing w:after="0" w:line="259" w:lineRule="auto"/>
            </w:pPr>
            <w:r>
              <w:rPr>
                <w:color w:val="1F2937"/>
                <w:sz w:val="17"/>
              </w:rPr>
              <w:t>[CUSTOMER_STRATEGY_FOLDER]</w:t>
            </w:r>
          </w:p>
        </w:tc>
        <w:tc>
          <w:tcPr>
            <w:tcW w:type="dxa" w:w="3500"/>
          </w:tcPr>
          <w:p>
            <w:pPr>
              <w:spacing w:after="0" w:line="259" w:lineRule="auto"/>
            </w:pPr>
            <w:r>
              <w:rPr>
                <w:color w:val="1F2937"/>
                <w:sz w:val="17"/>
              </w:rPr>
              <w:t>Corporate strategy, annual plans, growth priorities, market research</w:t>
            </w:r>
          </w:p>
        </w:tc>
        <w:tc>
          <w:tcPr>
            <w:tcW w:type="dxa" w:w="3360"/>
          </w:tcPr>
          <w:p>
            <w:pPr>
              <w:spacing w:after="0" w:line="259" w:lineRule="auto"/>
            </w:pPr>
            <w:r>
              <w:rPr>
                <w:color w:val="1F2937"/>
                <w:sz w:val="17"/>
              </w:rPr>
              <w:t>Business context and strategic priorities</w:t>
            </w:r>
          </w:p>
        </w:tc>
      </w:tr>
      <w:tr>
        <w:tc>
          <w:tcPr>
            <w:tcW w:type="dxa" w:w="2500"/>
          </w:tcPr>
          <w:p>
            <w:pPr>
              <w:spacing w:after="0" w:line="259" w:lineRule="auto"/>
            </w:pPr>
            <w:r>
              <w:rPr>
                <w:color w:val="1F2937"/>
                <w:sz w:val="17"/>
              </w:rPr>
              <w:t>[CUSTOMER_SEGMENT_AND_ACCOUNT_FOLDER]</w:t>
            </w:r>
          </w:p>
        </w:tc>
        <w:tc>
          <w:tcPr>
            <w:tcW w:type="dxa" w:w="3500"/>
          </w:tcPr>
          <w:p>
            <w:pPr>
              <w:spacing w:after="0" w:line="259" w:lineRule="auto"/>
            </w:pPr>
            <w:r>
              <w:rPr>
                <w:color w:val="1F2937"/>
                <w:sz w:val="17"/>
              </w:rPr>
              <w:t>Segmentation files, account lists, ICP, territory and ownership exports</w:t>
            </w:r>
          </w:p>
        </w:tc>
        <w:tc>
          <w:tcPr>
            <w:tcW w:type="dxa" w:w="3360"/>
          </w:tcPr>
          <w:p>
            <w:pPr>
              <w:spacing w:after="0" w:line="259" w:lineRule="auto"/>
            </w:pPr>
            <w:r>
              <w:rPr>
                <w:color w:val="1F2937"/>
                <w:sz w:val="17"/>
              </w:rPr>
              <w:t>Target cohort and exclusions</w:t>
            </w:r>
          </w:p>
        </w:tc>
      </w:tr>
      <w:tr>
        <w:tc>
          <w:tcPr>
            <w:tcW w:type="dxa" w:w="2500"/>
          </w:tcPr>
          <w:p>
            <w:pPr>
              <w:spacing w:after="0" w:line="259" w:lineRule="auto"/>
            </w:pPr>
            <w:r>
              <w:rPr>
                <w:color w:val="1F2937"/>
                <w:sz w:val="17"/>
              </w:rPr>
              <w:t>[CUSTOMER_INTERNAL_ENABLEMENT_FOLDER]</w:t>
            </w:r>
          </w:p>
        </w:tc>
        <w:tc>
          <w:tcPr>
            <w:tcW w:type="dxa" w:w="3500"/>
          </w:tcPr>
          <w:p>
            <w:pPr>
              <w:spacing w:after="0" w:line="259" w:lineRule="auto"/>
            </w:pPr>
            <w:r>
              <w:rPr>
                <w:color w:val="1F2937"/>
                <w:sz w:val="17"/>
              </w:rPr>
              <w:t>Discovery decks, sales plays, call recordings, battlecards, FAQs</w:t>
            </w:r>
          </w:p>
        </w:tc>
        <w:tc>
          <w:tcPr>
            <w:tcW w:type="dxa" w:w="3360"/>
          </w:tcPr>
          <w:p>
            <w:pPr>
              <w:spacing w:after="0" w:line="259" w:lineRule="auto"/>
            </w:pPr>
            <w:r>
              <w:rPr>
                <w:color w:val="1F2937"/>
                <w:sz w:val="17"/>
              </w:rPr>
              <w:t>Pain points, plays, language, objections</w:t>
            </w:r>
          </w:p>
        </w:tc>
      </w:tr>
      <w:tr>
        <w:tc>
          <w:tcPr>
            <w:tcW w:type="dxa" w:w="2500"/>
          </w:tcPr>
          <w:p>
            <w:pPr>
              <w:spacing w:after="0" w:line="259" w:lineRule="auto"/>
            </w:pPr>
            <w:r>
              <w:rPr>
                <w:color w:val="1F2937"/>
                <w:sz w:val="17"/>
              </w:rPr>
              <w:t>[CUSTOMER_EXTERNAL_CONTENT_FOLDER]</w:t>
            </w:r>
          </w:p>
        </w:tc>
        <w:tc>
          <w:tcPr>
            <w:tcW w:type="dxa" w:w="3500"/>
          </w:tcPr>
          <w:p>
            <w:pPr>
              <w:spacing w:after="0" w:line="259" w:lineRule="auto"/>
            </w:pPr>
            <w:r>
              <w:rPr>
                <w:color w:val="1F2937"/>
                <w:sz w:val="17"/>
              </w:rPr>
              <w:t>Public guides, briefs, white papers, reports, webinars</w:t>
            </w:r>
          </w:p>
        </w:tc>
        <w:tc>
          <w:tcPr>
            <w:tcW w:type="dxa" w:w="3360"/>
          </w:tcPr>
          <w:p>
            <w:pPr>
              <w:spacing w:after="0" w:line="259" w:lineRule="auto"/>
            </w:pPr>
            <w:r>
              <w:rPr>
                <w:color w:val="1F2937"/>
                <w:sz w:val="17"/>
              </w:rPr>
              <w:t>Stage-specific content map</w:t>
            </w:r>
          </w:p>
        </w:tc>
      </w:tr>
      <w:tr>
        <w:tc>
          <w:tcPr>
            <w:tcW w:type="dxa" w:w="2500"/>
          </w:tcPr>
          <w:p>
            <w:pPr>
              <w:spacing w:after="0" w:line="259" w:lineRule="auto"/>
            </w:pPr>
            <w:r>
              <w:rPr>
                <w:color w:val="1F2937"/>
                <w:sz w:val="17"/>
              </w:rPr>
              <w:t>[CUSTOMER_STORIES_FOLDER]</w:t>
            </w:r>
          </w:p>
        </w:tc>
        <w:tc>
          <w:tcPr>
            <w:tcW w:type="dxa" w:w="3500"/>
          </w:tcPr>
          <w:p>
            <w:pPr>
              <w:spacing w:after="0" w:line="259" w:lineRule="auto"/>
            </w:pPr>
            <w:r>
              <w:rPr>
                <w:color w:val="1F2937"/>
                <w:sz w:val="17"/>
              </w:rPr>
              <w:t>Approved customer stories and proof</w:t>
            </w:r>
          </w:p>
        </w:tc>
        <w:tc>
          <w:tcPr>
            <w:tcW w:type="dxa" w:w="3360"/>
          </w:tcPr>
          <w:p>
            <w:pPr>
              <w:spacing w:after="0" w:line="259" w:lineRule="auto"/>
            </w:pPr>
            <w:r>
              <w:rPr>
                <w:color w:val="1F2937"/>
                <w:sz w:val="17"/>
              </w:rPr>
              <w:t>Industry, use case, outcome, persona proof</w:t>
            </w:r>
          </w:p>
        </w:tc>
      </w:tr>
      <w:tr>
        <w:tc>
          <w:tcPr>
            <w:tcW w:type="dxa" w:w="2500"/>
          </w:tcPr>
          <w:p>
            <w:pPr>
              <w:spacing w:after="0" w:line="259" w:lineRule="auto"/>
            </w:pPr>
            <w:r>
              <w:rPr>
                <w:color w:val="1F2937"/>
                <w:sz w:val="17"/>
              </w:rPr>
              <w:t>[CUSTOMER_PRODUCT_TECHNICAL_FOLDER]</w:t>
            </w:r>
          </w:p>
        </w:tc>
        <w:tc>
          <w:tcPr>
            <w:tcW w:type="dxa" w:w="3500"/>
          </w:tcPr>
          <w:p>
            <w:pPr>
              <w:spacing w:after="0" w:line="259" w:lineRule="auto"/>
            </w:pPr>
            <w:r>
              <w:rPr>
                <w:color w:val="1F2937"/>
                <w:sz w:val="17"/>
              </w:rPr>
              <w:t>Reference architectures, technical briefs, security and integration docs</w:t>
            </w:r>
          </w:p>
        </w:tc>
        <w:tc>
          <w:tcPr>
            <w:tcW w:type="dxa" w:w="3360"/>
          </w:tcPr>
          <w:p>
            <w:pPr>
              <w:spacing w:after="0" w:line="259" w:lineRule="auto"/>
            </w:pPr>
            <w:r>
              <w:rPr>
                <w:color w:val="1F2937"/>
                <w:sz w:val="17"/>
              </w:rPr>
              <w:t>Technical evaluation paths</w:t>
            </w:r>
          </w:p>
        </w:tc>
      </w:tr>
      <w:tr>
        <w:tc>
          <w:tcPr>
            <w:tcW w:type="dxa" w:w="2500"/>
          </w:tcPr>
          <w:p>
            <w:pPr>
              <w:spacing w:after="0" w:line="259" w:lineRule="auto"/>
            </w:pPr>
            <w:r>
              <w:rPr>
                <w:color w:val="1F2937"/>
                <w:sz w:val="17"/>
              </w:rPr>
              <w:t>[CUSTOMER_BRAND_FOLDER]</w:t>
            </w:r>
          </w:p>
        </w:tc>
        <w:tc>
          <w:tcPr>
            <w:tcW w:type="dxa" w:w="3500"/>
          </w:tcPr>
          <w:p>
            <w:pPr>
              <w:spacing w:after="0" w:line="259" w:lineRule="auto"/>
            </w:pPr>
            <w:r>
              <w:rPr>
                <w:color w:val="1F2937"/>
                <w:sz w:val="17"/>
              </w:rPr>
              <w:t>Brand standards, logos, colors, voice, legal guidance</w:t>
            </w:r>
          </w:p>
        </w:tc>
        <w:tc>
          <w:tcPr>
            <w:tcW w:type="dxa" w:w="3360"/>
          </w:tcPr>
          <w:p>
            <w:pPr>
              <w:spacing w:after="0" w:line="259" w:lineRule="auto"/>
            </w:pPr>
            <w:r>
              <w:rPr>
                <w:color w:val="1F2937"/>
                <w:sz w:val="17"/>
              </w:rPr>
              <w:t>Board and creative guardrails</w:t>
            </w:r>
          </w:p>
        </w:tc>
      </w:tr>
      <w:tr>
        <w:tc>
          <w:tcPr>
            <w:tcW w:type="dxa" w:w="2500"/>
          </w:tcPr>
          <w:p>
            <w:pPr>
              <w:spacing w:after="0" w:line="259" w:lineRule="auto"/>
            </w:pPr>
            <w:r>
              <w:rPr>
                <w:color w:val="1F2937"/>
                <w:sz w:val="17"/>
              </w:rPr>
              <w:t>[CUSTOMER_DATA_EXPORT_FOLDER]</w:t>
            </w:r>
          </w:p>
        </w:tc>
        <w:tc>
          <w:tcPr>
            <w:tcW w:type="dxa" w:w="3500"/>
          </w:tcPr>
          <w:p>
            <w:pPr>
              <w:spacing w:after="0" w:line="259" w:lineRule="auto"/>
            </w:pPr>
            <w:r>
              <w:rPr>
                <w:color w:val="1F2937"/>
                <w:sz w:val="17"/>
              </w:rPr>
              <w:t>CRM, MAP, intent, web, engagement and campaign exports</w:t>
            </w:r>
          </w:p>
        </w:tc>
        <w:tc>
          <w:tcPr>
            <w:tcW w:type="dxa" w:w="3360"/>
          </w:tcPr>
          <w:p>
            <w:pPr>
              <w:spacing w:after="0" w:line="259" w:lineRule="auto"/>
            </w:pPr>
            <w:r>
              <w:rPr>
                <w:color w:val="1F2937"/>
                <w:sz w:val="17"/>
              </w:rPr>
              <w:t>Baseline, audience, funnel and measurement</w:t>
            </w:r>
          </w:p>
        </w:tc>
      </w:tr>
      <w:tr>
        <w:tc>
          <w:tcPr>
            <w:tcW w:type="dxa" w:w="2500"/>
          </w:tcPr>
          <w:p>
            <w:pPr>
              <w:spacing w:after="0" w:line="259" w:lineRule="auto"/>
            </w:pPr>
            <w:r>
              <w:rPr>
                <w:color w:val="1F2937"/>
                <w:sz w:val="17"/>
              </w:rPr>
              <w:t>[CUSTOMER_EXISTING_CAMPAIGNS_FOLDER]</w:t>
            </w:r>
          </w:p>
        </w:tc>
        <w:tc>
          <w:tcPr>
            <w:tcW w:type="dxa" w:w="3500"/>
          </w:tcPr>
          <w:p>
            <w:pPr>
              <w:spacing w:after="0" w:line="259" w:lineRule="auto"/>
            </w:pPr>
            <w:r>
              <w:rPr>
                <w:color w:val="1F2937"/>
                <w:sz w:val="17"/>
              </w:rPr>
              <w:t>Current campaigns, nurture, ads, events, boards and performance</w:t>
            </w:r>
          </w:p>
        </w:tc>
        <w:tc>
          <w:tcPr>
            <w:tcW w:type="dxa" w:w="3360"/>
          </w:tcPr>
          <w:p>
            <w:pPr>
              <w:spacing w:after="0" w:line="259" w:lineRule="auto"/>
            </w:pPr>
            <w:r>
              <w:rPr>
                <w:color w:val="1F2937"/>
                <w:sz w:val="17"/>
              </w:rPr>
              <w:t>Reuse, gaps and performance evidence</w:t>
            </w:r>
          </w:p>
        </w:tc>
      </w:tr>
      <w:tr>
        <w:tc>
          <w:tcPr>
            <w:tcW w:type="dxa" w:w="2500"/>
          </w:tcPr>
          <w:p>
            <w:pPr>
              <w:spacing w:after="0" w:line="259" w:lineRule="auto"/>
            </w:pPr>
            <w:r>
              <w:rPr>
                <w:color w:val="1F2937"/>
                <w:sz w:val="17"/>
              </w:rPr>
              <w:t>[CUSTOMER_OUTPUT_FOLDER]</w:t>
            </w:r>
          </w:p>
        </w:tc>
        <w:tc>
          <w:tcPr>
            <w:tcW w:type="dxa" w:w="3500"/>
          </w:tcPr>
          <w:p>
            <w:pPr>
              <w:spacing w:after="0" w:line="259" w:lineRule="auto"/>
            </w:pPr>
            <w:r>
              <w:rPr>
                <w:color w:val="1F2937"/>
                <w:sz w:val="17"/>
              </w:rPr>
              <w:t>Approved working and final deliverables</w:t>
            </w:r>
          </w:p>
        </w:tc>
        <w:tc>
          <w:tcPr>
            <w:tcW w:type="dxa" w:w="3360"/>
          </w:tcPr>
          <w:p>
            <w:pPr>
              <w:spacing w:after="0" w:line="259" w:lineRule="auto"/>
            </w:pPr>
            <w:r>
              <w:rPr>
                <w:color w:val="1F2937"/>
                <w:sz w:val="17"/>
              </w:rPr>
              <w:t>Workbook, walkthrough, prompts and source log</w:t>
            </w:r>
          </w:p>
        </w:tc>
      </w:tr>
    </w:tbl>
    <w:p>
      <w:pPr>
        <w:spacing w:after="20"/>
      </w:pPr>
    </w:p>
    <w:p>
      <w:pPr>
        <w:pStyle w:val="Heading2"/>
      </w:pPr>
      <w:r>
        <w:t>Required working variables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90" w:type="dxa"/>
              <w:start w:w="120" w:type="dxa"/>
              <w:bottom w:w="90" w:type="dxa"/>
              <w:end w:w="120" w:type="dxa"/>
            </w:tcMar>
            <w:shd w:fill="E8EEF5"/>
          </w:tcPr>
          <w:p>
            <w:pPr>
              <w:spacing w:after="0"/>
            </w:pPr>
            <w:r>
              <w:rPr>
                <w:b/>
                <w:color w:val="17365D"/>
                <w:sz w:val="18"/>
              </w:rPr>
              <w:t>Variable</w:t>
            </w:r>
          </w:p>
        </w:tc>
        <w:tc>
          <w:tcPr>
            <w:tcW w:type="dxa" w:w="6660"/>
            <w:vAlign w:val="center"/>
            <w:tcMar>
              <w:top w:w="90" w:type="dxa"/>
              <w:start w:w="120" w:type="dxa"/>
              <w:bottom w:w="90" w:type="dxa"/>
              <w:end w:w="120" w:type="dxa"/>
            </w:tcMar>
            <w:shd w:fill="E8EEF5"/>
          </w:tcPr>
          <w:p>
            <w:pPr>
              <w:spacing w:after="0"/>
            </w:pPr>
            <w:r>
              <w:rPr>
                <w:b/>
                <w:color w:val="17365D"/>
                <w:sz w:val="18"/>
              </w:rPr>
              <w:t>Definition</w:t>
            </w:r>
          </w:p>
        </w:tc>
      </w:tr>
      <w:tr>
        <w:tc>
          <w:tcPr>
            <w:tcW w:type="dxa" w:w="2700"/>
          </w:tcPr>
          <w:p>
            <w:pPr>
              <w:spacing w:after="0" w:line="259" w:lineRule="auto"/>
            </w:pPr>
            <w:r>
              <w:rPr>
                <w:color w:val="1F2937"/>
                <w:sz w:val="18"/>
              </w:rPr>
              <w:t>[CUSTOMER_NAME]</w:t>
            </w:r>
          </w:p>
        </w:tc>
        <w:tc>
          <w:tcPr>
            <w:tcW w:type="dxa" w:w="6660"/>
          </w:tcPr>
          <w:p>
            <w:pPr>
              <w:spacing w:after="0" w:line="259" w:lineRule="auto"/>
            </w:pPr>
            <w:r>
              <w:rPr>
                <w:color w:val="1F2937"/>
                <w:sz w:val="18"/>
              </w:rPr>
              <w:t>Customer's approved company name</w:t>
            </w:r>
          </w:p>
        </w:tc>
      </w:tr>
      <w:tr>
        <w:tc>
          <w:tcPr>
            <w:tcW w:type="dxa" w:w="2700"/>
          </w:tcPr>
          <w:p>
            <w:pPr>
              <w:spacing w:after="0" w:line="259" w:lineRule="auto"/>
            </w:pPr>
            <w:r>
              <w:rPr>
                <w:color w:val="1F2937"/>
                <w:sz w:val="18"/>
              </w:rPr>
              <w:t>[PROGRAM_SEGMENT]</w:t>
            </w:r>
          </w:p>
        </w:tc>
        <w:tc>
          <w:tcPr>
            <w:tcW w:type="dxa" w:w="6660"/>
          </w:tcPr>
          <w:p>
            <w:pPr>
              <w:spacing w:after="0" w:line="259" w:lineRule="auto"/>
            </w:pPr>
            <w:r>
              <w:rPr>
                <w:color w:val="1F2937"/>
                <w:sz w:val="18"/>
              </w:rPr>
              <w:t>One bounded segment, not the entire database</w:t>
            </w:r>
          </w:p>
        </w:tc>
      </w:tr>
      <w:tr>
        <w:tc>
          <w:tcPr>
            <w:tcW w:type="dxa" w:w="2700"/>
          </w:tcPr>
          <w:p>
            <w:pPr>
              <w:spacing w:after="0" w:line="259" w:lineRule="auto"/>
            </w:pPr>
            <w:r>
              <w:rPr>
                <w:color w:val="1F2937"/>
                <w:sz w:val="18"/>
              </w:rPr>
              <w:t>[TARGET_ACCOUNT_COUNT]</w:t>
            </w:r>
          </w:p>
        </w:tc>
        <w:tc>
          <w:tcPr>
            <w:tcW w:type="dxa" w:w="6660"/>
          </w:tcPr>
          <w:p>
            <w:pPr>
              <w:spacing w:after="0" w:line="259" w:lineRule="auto"/>
            </w:pPr>
            <w:r>
              <w:rPr>
                <w:color w:val="1F2937"/>
                <w:sz w:val="18"/>
              </w:rPr>
              <w:t>Named-account universe</w:t>
            </w:r>
          </w:p>
        </w:tc>
      </w:tr>
      <w:tr>
        <w:tc>
          <w:tcPr>
            <w:tcW w:type="dxa" w:w="2700"/>
          </w:tcPr>
          <w:p>
            <w:pPr>
              <w:spacing w:after="0" w:line="259" w:lineRule="auto"/>
            </w:pPr>
            <w:r>
              <w:rPr>
                <w:color w:val="1F2937"/>
                <w:sz w:val="18"/>
              </w:rPr>
              <w:t>[OPPORTUNITY_TARGET]</w:t>
            </w:r>
          </w:p>
        </w:tc>
        <w:tc>
          <w:tcPr>
            <w:tcW w:type="dxa" w:w="6660"/>
          </w:tcPr>
          <w:p>
            <w:pPr>
              <w:spacing w:after="0" w:line="259" w:lineRule="auto"/>
            </w:pPr>
            <w:r>
              <w:rPr>
                <w:color w:val="1F2937"/>
                <w:sz w:val="18"/>
              </w:rPr>
              <w:t>Sales-accepted opportunities for the program period</w:t>
            </w:r>
          </w:p>
        </w:tc>
      </w:tr>
      <w:tr>
        <w:tc>
          <w:tcPr>
            <w:tcW w:type="dxa" w:w="2700"/>
          </w:tcPr>
          <w:p>
            <w:pPr>
              <w:spacing w:after="0" w:line="259" w:lineRule="auto"/>
            </w:pPr>
            <w:r>
              <w:rPr>
                <w:color w:val="1F2937"/>
                <w:sz w:val="18"/>
              </w:rPr>
              <w:t>[ACQUISITION_MIX]</w:t>
            </w:r>
          </w:p>
        </w:tc>
        <w:tc>
          <w:tcPr>
            <w:tcW w:type="dxa" w:w="6660"/>
          </w:tcPr>
          <w:p>
            <w:pPr>
              <w:spacing w:after="0" w:line="259" w:lineRule="auto"/>
            </w:pPr>
            <w:r>
              <w:rPr>
                <w:color w:val="1F2937"/>
                <w:sz w:val="18"/>
              </w:rPr>
              <w:t>Net-new, expansion, or a documented split</w:t>
            </w:r>
          </w:p>
        </w:tc>
      </w:tr>
      <w:tr>
        <w:tc>
          <w:tcPr>
            <w:tcW w:type="dxa" w:w="2700"/>
          </w:tcPr>
          <w:p>
            <w:pPr>
              <w:spacing w:after="0" w:line="259" w:lineRule="auto"/>
            </w:pPr>
            <w:r>
              <w:rPr>
                <w:color w:val="1F2937"/>
                <w:sz w:val="18"/>
              </w:rPr>
              <w:t>[ACCOUNT_INTELLIGENCE_PLATFORM]</w:t>
            </w:r>
          </w:p>
        </w:tc>
        <w:tc>
          <w:tcPr>
            <w:tcW w:type="dxa" w:w="6660"/>
          </w:tcPr>
          <w:p>
            <w:pPr>
              <w:spacing w:after="0" w:line="259" w:lineRule="auto"/>
            </w:pPr>
            <w:r>
              <w:rPr>
                <w:color w:val="1F2937"/>
                <w:sz w:val="18"/>
              </w:rPr>
              <w:t>6sense, Demandbase, another platform, or documented manual substitute</w:t>
            </w:r>
          </w:p>
        </w:tc>
      </w:tr>
      <w:tr>
        <w:tc>
          <w:tcPr>
            <w:tcW w:type="dxa" w:w="2700"/>
          </w:tcPr>
          <w:p>
            <w:pPr>
              <w:spacing w:after="0" w:line="259" w:lineRule="auto"/>
            </w:pPr>
            <w:r>
              <w:rPr>
                <w:color w:val="1F2937"/>
                <w:sz w:val="18"/>
              </w:rPr>
              <w:t>[CRM] / [MAP] / [SALES_ENGAGEMENT]</w:t>
            </w:r>
          </w:p>
        </w:tc>
        <w:tc>
          <w:tcPr>
            <w:tcW w:type="dxa" w:w="6660"/>
          </w:tcPr>
          <w:p>
            <w:pPr>
              <w:spacing w:after="0" w:line="259" w:lineRule="auto"/>
            </w:pPr>
            <w:r>
              <w:rPr>
                <w:color w:val="1F2937"/>
                <w:sz w:val="18"/>
              </w:rPr>
              <w:t>Systems of record and execution</w:t>
            </w:r>
          </w:p>
        </w:tc>
      </w:tr>
      <w:tr>
        <w:tc>
          <w:tcPr>
            <w:tcW w:type="dxa" w:w="2700"/>
          </w:tcPr>
          <w:p>
            <w:pPr>
              <w:spacing w:after="0" w:line="259" w:lineRule="auto"/>
            </w:pPr>
            <w:r>
              <w:rPr>
                <w:color w:val="1F2937"/>
                <w:sz w:val="18"/>
              </w:rPr>
              <w:t>[AVERAGE_OPPORTUNITY_VALUE]</w:t>
            </w:r>
          </w:p>
        </w:tc>
        <w:tc>
          <w:tcPr>
            <w:tcW w:type="dxa" w:w="6660"/>
          </w:tcPr>
          <w:p>
            <w:pPr>
              <w:spacing w:after="0" w:line="259" w:lineRule="auto"/>
            </w:pPr>
            <w:r>
              <w:rPr>
                <w:color w:val="1F2937"/>
                <w:sz w:val="18"/>
              </w:rPr>
              <w:t>Internal planning assumption, with low/base/high values</w:t>
            </w:r>
          </w:p>
        </w:tc>
      </w:tr>
      <w:tr>
        <w:tc>
          <w:tcPr>
            <w:tcW w:type="dxa" w:w="2700"/>
          </w:tcPr>
          <w:p>
            <w:pPr>
              <w:spacing w:after="0" w:line="259" w:lineRule="auto"/>
            </w:pPr>
            <w:r>
              <w:rPr>
                <w:color w:val="1F2937"/>
                <w:sz w:val="18"/>
              </w:rPr>
              <w:t>[PROGRAM_START_DATE]</w:t>
            </w:r>
          </w:p>
        </w:tc>
        <w:tc>
          <w:tcPr>
            <w:tcW w:type="dxa" w:w="6660"/>
          </w:tcPr>
          <w:p>
            <w:pPr>
              <w:spacing w:after="0" w:line="259" w:lineRule="auto"/>
            </w:pPr>
            <w:r>
              <w:rPr>
                <w:color w:val="1F2937"/>
                <w:sz w:val="18"/>
              </w:rPr>
              <w:t>Month 1 anchor</w:t>
            </w:r>
          </w:p>
        </w:tc>
      </w:tr>
      <w:tr>
        <w:tc>
          <w:tcPr>
            <w:tcW w:type="dxa" w:w="2700"/>
          </w:tcPr>
          <w:p>
            <w:pPr>
              <w:spacing w:after="0" w:line="259" w:lineRule="auto"/>
            </w:pPr>
            <w:r>
              <w:rPr>
                <w:color w:val="1F2937"/>
                <w:sz w:val="18"/>
              </w:rPr>
              <w:t>[REGIONS] / [LANGUAGES]</w:t>
            </w:r>
          </w:p>
        </w:tc>
        <w:tc>
          <w:tcPr>
            <w:tcW w:type="dxa" w:w="6660"/>
          </w:tcPr>
          <w:p>
            <w:pPr>
              <w:spacing w:after="0" w:line="259" w:lineRule="auto"/>
            </w:pPr>
            <w:r>
              <w:rPr>
                <w:color w:val="1F2937"/>
                <w:sz w:val="18"/>
              </w:rPr>
              <w:t>Localization scope and ownership</w:t>
            </w:r>
          </w:p>
        </w:tc>
      </w:tr>
    </w:tbl>
    <w:p>
      <w:pPr>
        <w:spacing w:after="20"/>
      </w:pPr>
    </w:p>
    <w:p>
      <w:r>
        <w:br w:type="page"/>
      </w:r>
    </w:p>
    <w:p>
      <w:pPr>
        <w:pStyle w:val="Heading1"/>
      </w:pPr>
      <w:r>
        <w:t>3. Source audit: what to reuse and what to rebuild</w:t>
      </w:r>
    </w:p>
    <w:p>
      <w:r>
        <w:t>The most common failure is treating another customer's completed plan as a template. The reusable unit is the method and table structure—not the final recommendations inside it.</w:t>
      </w:r>
    </w:p>
    <w:tbl>
      <w:tblPr>
        <w:tblStyle w:val="TableGrid"/>
        <w:tblW w:type="dxa" w:w="9360"/>
        <w:jc w:val="left"/>
        <w:tblLayout w:type="fixed"/>
        <w:tblLook w:firstColumn="1" w:firstRow="1" w:lastColumn="0" w:lastRow="0" w:noHBand="0" w:noVBand="1" w:val="04A0"/>
        <w:tblInd w:w="120" w:type="dxa"/>
      </w:tblPr>
      <w:tblGrid>
        <w:gridCol w:w="4500"/>
        <w:gridCol w:w="4860"/>
      </w:tblGrid>
      <w:tr>
        <w:trPr>
          <w:tblHeader w:val="true"/>
        </w:trPr>
        <w:tc>
          <w:tcPr>
            <w:tcW w:type="dxa" w:w="4500"/>
            <w:vAlign w:val="center"/>
            <w:tcMar>
              <w:top w:w="90" w:type="dxa"/>
              <w:start w:w="120" w:type="dxa"/>
              <w:bottom w:w="90" w:type="dxa"/>
              <w:end w:w="120" w:type="dxa"/>
            </w:tcMar>
            <w:shd w:fill="E8EEF5"/>
          </w:tcPr>
          <w:p>
            <w:pPr>
              <w:spacing w:after="0"/>
            </w:pPr>
            <w:r>
              <w:rPr>
                <w:b/>
                <w:color w:val="17365D"/>
                <w:sz w:val="18"/>
              </w:rPr>
              <w:t>Reusable methodology</w:t>
            </w:r>
          </w:p>
        </w:tc>
        <w:tc>
          <w:tcPr>
            <w:tcW w:type="dxa" w:w="4860"/>
            <w:vAlign w:val="center"/>
            <w:tcMar>
              <w:top w:w="90" w:type="dxa"/>
              <w:start w:w="120" w:type="dxa"/>
              <w:bottom w:w="90" w:type="dxa"/>
              <w:end w:w="120" w:type="dxa"/>
            </w:tcMar>
            <w:shd w:fill="E8EEF5"/>
          </w:tcPr>
          <w:p>
            <w:pPr>
              <w:spacing w:after="0"/>
            </w:pPr>
            <w:r>
              <w:rPr>
                <w:b/>
                <w:color w:val="17365D"/>
                <w:sz w:val="18"/>
              </w:rPr>
              <w:t>Must be rebuilt for each customer</w:t>
            </w:r>
          </w:p>
        </w:tc>
      </w:tr>
      <w:tr>
        <w:tc>
          <w:tcPr>
            <w:tcW w:type="dxa" w:w="4500"/>
          </w:tcPr>
          <w:p>
            <w:pPr>
              <w:spacing w:after="0" w:line="259" w:lineRule="auto"/>
            </w:pPr>
            <w:r>
              <w:rPr>
                <w:color w:val="1F2937"/>
                <w:sz w:val="18"/>
              </w:rPr>
              <w:t>Academy pillars: Alignment, Experiences, Engagement, Signals</w:t>
            </w:r>
          </w:p>
        </w:tc>
        <w:tc>
          <w:tcPr>
            <w:tcW w:type="dxa" w:w="4860"/>
          </w:tcPr>
          <w:p>
            <w:pPr>
              <w:spacing w:after="0" w:line="259" w:lineRule="auto"/>
            </w:pPr>
            <w:r>
              <w:rPr>
                <w:color w:val="1F2937"/>
                <w:sz w:val="18"/>
              </w:rPr>
              <w:t>Segment, account list, exclusions, target volumes and opportunity goal</w:t>
            </w:r>
          </w:p>
        </w:tc>
      </w:tr>
      <w:tr>
        <w:tc>
          <w:tcPr>
            <w:tcW w:type="dxa" w:w="4500"/>
          </w:tcPr>
          <w:p>
            <w:pPr>
              <w:spacing w:after="0" w:line="259" w:lineRule="auto"/>
            </w:pPr>
            <w:r>
              <w:rPr>
                <w:color w:val="1F2937"/>
                <w:sz w:val="18"/>
              </w:rPr>
              <w:t>Buyer-stage progression and stage-appropriate content logic</w:t>
            </w:r>
          </w:p>
        </w:tc>
        <w:tc>
          <w:tcPr>
            <w:tcW w:type="dxa" w:w="4860"/>
          </w:tcPr>
          <w:p>
            <w:pPr>
              <w:spacing w:after="0" w:line="259" w:lineRule="auto"/>
            </w:pPr>
            <w:r>
              <w:rPr>
                <w:color w:val="1F2937"/>
                <w:sz w:val="18"/>
              </w:rPr>
              <w:t>Buying stages, qualification thresholds and conversion assumptions</w:t>
            </w:r>
          </w:p>
        </w:tc>
      </w:tr>
      <w:tr>
        <w:tc>
          <w:tcPr>
            <w:tcW w:type="dxa" w:w="4500"/>
          </w:tcPr>
          <w:p>
            <w:pPr>
              <w:spacing w:after="0" w:line="259" w:lineRule="auto"/>
            </w:pPr>
            <w:r>
              <w:rPr>
                <w:color w:val="1F2937"/>
                <w:sz w:val="18"/>
              </w:rPr>
              <w:t>Dynamic 1:many, 1:few, 1:1 and opportunity-room framework</w:t>
            </w:r>
          </w:p>
        </w:tc>
        <w:tc>
          <w:tcPr>
            <w:tcW w:type="dxa" w:w="4860"/>
          </w:tcPr>
          <w:p>
            <w:pPr>
              <w:spacing w:after="0" w:line="259" w:lineRule="auto"/>
            </w:pPr>
            <w:r>
              <w:rPr>
                <w:color w:val="1F2937"/>
                <w:sz w:val="18"/>
              </w:rPr>
              <w:t>Actual treatment criteria, cohort size, sales capacity and SLAs</w:t>
            </w:r>
          </w:p>
        </w:tc>
      </w:tr>
      <w:tr>
        <w:tc>
          <w:tcPr>
            <w:tcW w:type="dxa" w:w="4500"/>
          </w:tcPr>
          <w:p>
            <w:pPr>
              <w:spacing w:after="0" w:line="259" w:lineRule="auto"/>
            </w:pPr>
            <w:r>
              <w:rPr>
                <w:color w:val="1F2937"/>
                <w:sz w:val="18"/>
              </w:rPr>
              <w:t>Technology-role and system-output framework</w:t>
            </w:r>
          </w:p>
        </w:tc>
        <w:tc>
          <w:tcPr>
            <w:tcW w:type="dxa" w:w="4860"/>
          </w:tcPr>
          <w:p>
            <w:pPr>
              <w:spacing w:after="0" w:line="259" w:lineRule="auto"/>
            </w:pPr>
            <w:r>
              <w:rPr>
                <w:color w:val="1F2937"/>
                <w:sz w:val="18"/>
              </w:rPr>
              <w:t>Installed systems, integrations, data fields and system owners</w:t>
            </w:r>
          </w:p>
        </w:tc>
      </w:tr>
      <w:tr>
        <w:tc>
          <w:tcPr>
            <w:tcW w:type="dxa" w:w="4500"/>
          </w:tcPr>
          <w:p>
            <w:pPr>
              <w:spacing w:after="0" w:line="259" w:lineRule="auto"/>
            </w:pPr>
            <w:r>
              <w:rPr>
                <w:color w:val="1F2937"/>
                <w:sz w:val="18"/>
              </w:rPr>
              <w:t>Campaign-calendar and prompt-library structures</w:t>
            </w:r>
          </w:p>
        </w:tc>
        <w:tc>
          <w:tcPr>
            <w:tcW w:type="dxa" w:w="4860"/>
          </w:tcPr>
          <w:p>
            <w:pPr>
              <w:spacing w:after="0" w:line="259" w:lineRule="auto"/>
            </w:pPr>
            <w:r>
              <w:rPr>
                <w:color w:val="1F2937"/>
                <w:sz w:val="18"/>
              </w:rPr>
              <w:t>Campaign themes, personas, proof, content, channels and creative</w:t>
            </w:r>
          </w:p>
        </w:tc>
      </w:tr>
      <w:tr>
        <w:tc>
          <w:tcPr>
            <w:tcW w:type="dxa" w:w="4500"/>
          </w:tcPr>
          <w:p>
            <w:pPr>
              <w:spacing w:after="0" w:line="259" w:lineRule="auto"/>
            </w:pPr>
            <w:r>
              <w:rPr>
                <w:color w:val="1F2937"/>
                <w:sz w:val="18"/>
              </w:rPr>
              <w:t>Crawl-Walk-Run deployment method</w:t>
            </w:r>
          </w:p>
        </w:tc>
        <w:tc>
          <w:tcPr>
            <w:tcW w:type="dxa" w:w="4860"/>
          </w:tcPr>
          <w:p>
            <w:pPr>
              <w:spacing w:after="0" w:line="259" w:lineRule="auto"/>
            </w:pPr>
            <w:r>
              <w:rPr>
                <w:color w:val="1F2937"/>
                <w:sz w:val="18"/>
              </w:rPr>
              <w:t>Readiness gates, dates, budgets, owners and opportunity pacing</w:t>
            </w:r>
          </w:p>
        </w:tc>
      </w:tr>
      <w:tr>
        <w:tc>
          <w:tcPr>
            <w:tcW w:type="dxa" w:w="4500"/>
          </w:tcPr>
          <w:p>
            <w:pPr>
              <w:spacing w:after="0" w:line="259" w:lineRule="auto"/>
            </w:pPr>
            <w:r>
              <w:rPr>
                <w:color w:val="1F2937"/>
                <w:sz w:val="18"/>
              </w:rPr>
              <w:t>Commercial low/base/high scenario method</w:t>
            </w:r>
          </w:p>
        </w:tc>
        <w:tc>
          <w:tcPr>
            <w:tcW w:type="dxa" w:w="4860"/>
          </w:tcPr>
          <w:p>
            <w:pPr>
              <w:spacing w:after="0" w:line="259" w:lineRule="auto"/>
            </w:pPr>
            <w:r>
              <w:rPr>
                <w:color w:val="1F2937"/>
                <w:sz w:val="18"/>
              </w:rPr>
              <w:t>Average opportunity value, stage probabilities and internal revenue definitions</w:t>
            </w:r>
          </w:p>
        </w:tc>
      </w:tr>
    </w:tbl>
    <w:p>
      <w:pPr>
        <w:spacing w:after="20"/>
      </w:pPr>
    </w:p>
    <w:p>
      <w:pPr>
        <w:pStyle w:val="Heading2"/>
      </w:pPr>
      <w:r>
        <w:t>Build a source inventory</w:t>
      </w:r>
    </w:p>
    <w:p>
      <w:pPr>
        <w:pStyle w:val="ListBullet"/>
        <w:spacing w:after="80"/>
      </w:pPr>
      <w:r>
        <w:t>Record file name, folder, owner, date, audience, lifecycle stage, claim status, and recommended use.</w:t>
      </w:r>
    </w:p>
    <w:p>
      <w:pPr>
        <w:pStyle w:val="ListBullet"/>
        <w:spacing w:after="80"/>
      </w:pPr>
      <w:r>
        <w:t>Separate internal-only materials from externally approved content.</w:t>
      </w:r>
    </w:p>
    <w:p>
      <w:pPr>
        <w:pStyle w:val="ListBullet"/>
        <w:spacing w:after="80"/>
      </w:pPr>
      <w:r>
        <w:t>Tag each content item by persona, industry, use case, region, buyer question, stage, and proof type.</w:t>
      </w:r>
    </w:p>
    <w:p>
      <w:pPr>
        <w:pStyle w:val="ListBullet"/>
        <w:spacing w:after="80"/>
      </w:pPr>
      <w:r>
        <w:t>Mark unsupported statistics, old brand language, expired links, and conflicting definitions for review.</w:t>
      </w:r>
    </w:p>
    <w:p>
      <w:pPr>
        <w:pStyle w:val="ListBullet"/>
        <w:spacing w:after="80"/>
      </w:pPr>
      <w:r>
        <w:t>Maintain a source log so every external claim can be traced during board and ad approval.</w:t>
      </w:r>
    </w:p>
    <w:p>
      <w:pPr>
        <w:pStyle w:val="Heading2"/>
      </w:pPr>
      <w:r>
        <w:t>Evidence hierarchy</w:t>
      </w:r>
    </w:p>
    <w:p>
      <w:pPr>
        <w:pStyle w:val="ListNumber"/>
        <w:spacing w:after="100"/>
      </w:pPr>
      <w:r>
        <w:t>Customer's current approved strategy, segmentation, CRM definitions, and operating policies.</w:t>
      </w:r>
    </w:p>
    <w:p>
      <w:pPr>
        <w:pStyle w:val="ListNumber"/>
        <w:spacing w:after="100"/>
      </w:pPr>
      <w:r>
        <w:t>Customer-authored product, technical, security, and customer-proof materials.</w:t>
      </w:r>
    </w:p>
    <w:p>
      <w:pPr>
        <w:pStyle w:val="ListNumber"/>
        <w:spacing w:after="100"/>
      </w:pPr>
      <w:r>
        <w:t>Current performance data from the customer's systems of record.</w:t>
      </w:r>
    </w:p>
    <w:p>
      <w:pPr>
        <w:pStyle w:val="ListNumber"/>
        <w:spacing w:after="100"/>
      </w:pPr>
      <w:r>
        <w:t>Approved external analyst, regulatory, partner, and market sources.</w:t>
      </w:r>
    </w:p>
    <w:p>
      <w:pPr>
        <w:pStyle w:val="ListNumber"/>
        <w:spacing w:after="100"/>
      </w:pPr>
      <w:r>
        <w:t>Planning assumptions, clearly labeled and assigned an owner/date for validation.</w:t>
      </w:r>
    </w:p>
    <w:p>
      <w:r>
        <w:br w:type="page"/>
      </w:r>
    </w:p>
    <w:p>
      <w:pPr>
        <w:pStyle w:val="Heading1"/>
      </w:pPr>
      <w:r>
        <w:t>4. Intake and decision workshop</w:t>
      </w:r>
    </w:p>
    <w:p>
      <w:r>
        <w:t>Run one structured intake before drafting campaigns. The purpose is to force alignment on what the program is trying to change and what the organization can realistically execute.</w:t>
      </w:r>
    </w:p>
    <w:p>
      <w:pPr>
        <w:pStyle w:val="Heading2"/>
      </w:pPr>
      <w:r>
        <w:t>Decision questions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90" w:type="dxa"/>
              <w:start w:w="120" w:type="dxa"/>
              <w:bottom w:w="90" w:type="dxa"/>
              <w:end w:w="120" w:type="dxa"/>
            </w:tcMar>
            <w:shd w:fill="E8EEF5"/>
          </w:tcPr>
          <w:p>
            <w:pPr>
              <w:spacing w:after="0"/>
            </w:pPr>
            <w:r>
              <w:rPr>
                <w:b/>
                <w:color w:val="17365D"/>
                <w:sz w:val="18"/>
              </w:rPr>
              <w:t>Decision</w:t>
            </w:r>
          </w:p>
        </w:tc>
        <w:tc>
          <w:tcPr>
            <w:tcW w:type="dxa" w:w="7160"/>
            <w:vAlign w:val="center"/>
            <w:tcMar>
              <w:top w:w="90" w:type="dxa"/>
              <w:start w:w="120" w:type="dxa"/>
              <w:bottom w:w="90" w:type="dxa"/>
              <w:end w:w="120" w:type="dxa"/>
            </w:tcMar>
            <w:shd w:fill="E8EEF5"/>
          </w:tcPr>
          <w:p>
            <w:pPr>
              <w:spacing w:after="0"/>
            </w:pPr>
            <w:r>
              <w:rPr>
                <w:b/>
                <w:color w:val="17365D"/>
                <w:sz w:val="18"/>
              </w:rPr>
              <w:t>Workshop question</w:t>
            </w:r>
          </w:p>
        </w:tc>
      </w:tr>
      <w:tr>
        <w:tc>
          <w:tcPr>
            <w:tcW w:type="dxa" w:w="2200"/>
          </w:tcPr>
          <w:p>
            <w:pPr>
              <w:spacing w:after="0" w:line="259" w:lineRule="auto"/>
            </w:pPr>
            <w:r>
              <w:rPr>
                <w:color w:val="1F2937"/>
                <w:sz w:val="18"/>
              </w:rPr>
              <w:t>Business objective</w:t>
            </w:r>
          </w:p>
        </w:tc>
        <w:tc>
          <w:tcPr>
            <w:tcW w:type="dxa" w:w="7160"/>
          </w:tcPr>
          <w:p>
            <w:pPr>
              <w:spacing w:after="0" w:line="259" w:lineRule="auto"/>
            </w:pPr>
            <w:r>
              <w:rPr>
                <w:color w:val="1F2937"/>
                <w:sz w:val="18"/>
              </w:rPr>
              <w:t>What growth problem must this program solve? What counts as a sales-accepted opportunity?</w:t>
            </w:r>
          </w:p>
        </w:tc>
      </w:tr>
      <w:tr>
        <w:tc>
          <w:tcPr>
            <w:tcW w:type="dxa" w:w="2200"/>
          </w:tcPr>
          <w:p>
            <w:pPr>
              <w:spacing w:after="0" w:line="259" w:lineRule="auto"/>
            </w:pPr>
            <w:r>
              <w:rPr>
                <w:color w:val="1F2937"/>
                <w:sz w:val="18"/>
              </w:rPr>
              <w:t>Segment</w:t>
            </w:r>
          </w:p>
        </w:tc>
        <w:tc>
          <w:tcPr>
            <w:tcW w:type="dxa" w:w="7160"/>
          </w:tcPr>
          <w:p>
            <w:pPr>
              <w:spacing w:after="0" w:line="259" w:lineRule="auto"/>
            </w:pPr>
            <w:r>
              <w:rPr>
                <w:color w:val="1F2937"/>
                <w:sz w:val="18"/>
              </w:rPr>
              <w:t>Which one segment can support [TARGET_ACCOUNT_COUNT] named accounts and [OPPORTUNITY_TARGET] opportunities?</w:t>
            </w:r>
          </w:p>
        </w:tc>
      </w:tr>
      <w:tr>
        <w:tc>
          <w:tcPr>
            <w:tcW w:type="dxa" w:w="2200"/>
          </w:tcPr>
          <w:p>
            <w:pPr>
              <w:spacing w:after="0" w:line="259" w:lineRule="auto"/>
            </w:pPr>
            <w:r>
              <w:rPr>
                <w:color w:val="1F2937"/>
                <w:sz w:val="18"/>
              </w:rPr>
              <w:t>Acquisition</w:t>
            </w:r>
          </w:p>
        </w:tc>
        <w:tc>
          <w:tcPr>
            <w:tcW w:type="dxa" w:w="7160"/>
          </w:tcPr>
          <w:p>
            <w:pPr>
              <w:spacing w:after="0" w:line="259" w:lineRule="auto"/>
            </w:pPr>
            <w:r>
              <w:rPr>
                <w:color w:val="1F2937"/>
                <w:sz w:val="18"/>
              </w:rPr>
              <w:t>Is the program net-new, expansion, or a split? How will the motions differ?</w:t>
            </w:r>
          </w:p>
        </w:tc>
      </w:tr>
      <w:tr>
        <w:tc>
          <w:tcPr>
            <w:tcW w:type="dxa" w:w="2200"/>
          </w:tcPr>
          <w:p>
            <w:pPr>
              <w:spacing w:after="0" w:line="259" w:lineRule="auto"/>
            </w:pPr>
            <w:r>
              <w:rPr>
                <w:color w:val="1F2937"/>
                <w:sz w:val="18"/>
              </w:rPr>
              <w:t>Feasibility</w:t>
            </w:r>
          </w:p>
        </w:tc>
        <w:tc>
          <w:tcPr>
            <w:tcW w:type="dxa" w:w="7160"/>
          </w:tcPr>
          <w:p>
            <w:pPr>
              <w:spacing w:after="0" w:line="259" w:lineRule="auto"/>
            </w:pPr>
            <w:r>
              <w:rPr>
                <w:color w:val="1F2937"/>
                <w:sz w:val="18"/>
              </w:rPr>
              <w:t>Can sales, delivery, capacity, partners, and regional teams support the demand created?</w:t>
            </w:r>
          </w:p>
        </w:tc>
      </w:tr>
      <w:tr>
        <w:tc>
          <w:tcPr>
            <w:tcW w:type="dxa" w:w="2200"/>
          </w:tcPr>
          <w:p>
            <w:pPr>
              <w:spacing w:after="0" w:line="259" w:lineRule="auto"/>
            </w:pPr>
            <w:r>
              <w:rPr>
                <w:color w:val="1F2937"/>
                <w:sz w:val="18"/>
              </w:rPr>
              <w:t>Buying committee</w:t>
            </w:r>
          </w:p>
        </w:tc>
        <w:tc>
          <w:tcPr>
            <w:tcW w:type="dxa" w:w="7160"/>
          </w:tcPr>
          <w:p>
            <w:pPr>
              <w:spacing w:after="0" w:line="259" w:lineRule="auto"/>
            </w:pPr>
            <w:r>
              <w:rPr>
                <w:color w:val="1F2937"/>
                <w:sz w:val="18"/>
              </w:rPr>
              <w:t>Which executive, technical, risk, financial, and operational roles participate?</w:t>
            </w:r>
          </w:p>
        </w:tc>
      </w:tr>
      <w:tr>
        <w:tc>
          <w:tcPr>
            <w:tcW w:type="dxa" w:w="2200"/>
          </w:tcPr>
          <w:p>
            <w:pPr>
              <w:spacing w:after="0" w:line="259" w:lineRule="auto"/>
            </w:pPr>
            <w:r>
              <w:rPr>
                <w:color w:val="1F2937"/>
                <w:sz w:val="18"/>
              </w:rPr>
              <w:t>Sales plays</w:t>
            </w:r>
          </w:p>
        </w:tc>
        <w:tc>
          <w:tcPr>
            <w:tcW w:type="dxa" w:w="7160"/>
          </w:tcPr>
          <w:p>
            <w:pPr>
              <w:spacing w:after="0" w:line="259" w:lineRule="auto"/>
            </w:pPr>
            <w:r>
              <w:rPr>
                <w:color w:val="1F2937"/>
                <w:sz w:val="18"/>
              </w:rPr>
              <w:t>Which customer-approved plays or use cases organize the campaign portfolio?</w:t>
            </w:r>
          </w:p>
        </w:tc>
      </w:tr>
      <w:tr>
        <w:tc>
          <w:tcPr>
            <w:tcW w:type="dxa" w:w="2200"/>
          </w:tcPr>
          <w:p>
            <w:pPr>
              <w:spacing w:after="0" w:line="259" w:lineRule="auto"/>
            </w:pPr>
            <w:r>
              <w:rPr>
                <w:color w:val="1F2937"/>
                <w:sz w:val="18"/>
              </w:rPr>
              <w:t>Technology</w:t>
            </w:r>
          </w:p>
        </w:tc>
        <w:tc>
          <w:tcPr>
            <w:tcW w:type="dxa" w:w="7160"/>
          </w:tcPr>
          <w:p>
            <w:pPr>
              <w:spacing w:after="0" w:line="259" w:lineRule="auto"/>
            </w:pPr>
            <w:r>
              <w:rPr>
                <w:color w:val="1F2937"/>
                <w:sz w:val="18"/>
              </w:rPr>
              <w:t>Which system owns account intelligence, experience, nurture, outreach, opportunity, and revenue?</w:t>
            </w:r>
          </w:p>
        </w:tc>
      </w:tr>
      <w:tr>
        <w:tc>
          <w:tcPr>
            <w:tcW w:type="dxa" w:w="2200"/>
          </w:tcPr>
          <w:p>
            <w:pPr>
              <w:spacing w:after="0" w:line="259" w:lineRule="auto"/>
            </w:pPr>
            <w:r>
              <w:rPr>
                <w:color w:val="1F2937"/>
                <w:sz w:val="18"/>
              </w:rPr>
              <w:t>Measurement</w:t>
            </w:r>
          </w:p>
        </w:tc>
        <w:tc>
          <w:tcPr>
            <w:tcW w:type="dxa" w:w="7160"/>
          </w:tcPr>
          <w:p>
            <w:pPr>
              <w:spacing w:after="0" w:line="259" w:lineRule="auto"/>
            </w:pPr>
            <w:r>
              <w:rPr>
                <w:color w:val="1F2937"/>
                <w:sz w:val="18"/>
              </w:rPr>
              <w:t>Which metrics are trusted today? Which require a data audit before use?</w:t>
            </w:r>
          </w:p>
        </w:tc>
      </w:tr>
    </w:tbl>
    <w:p>
      <w:pPr>
        <w:spacing w:after="20"/>
      </w:pPr>
    </w:p>
    <w:p>
      <w:pPr>
        <w:pStyle w:val="Heading2"/>
      </w:pPr>
      <w:r>
        <w:t>Required decisions before campaign design</w:t>
      </w:r>
    </w:p>
    <w:p>
      <w:pPr>
        <w:pStyle w:val="ListBullet"/>
        <w:spacing w:after="80"/>
      </w:pPr>
      <w:r>
        <w:t>One segment and named-account universe.</w:t>
      </w:r>
    </w:p>
    <w:p>
      <w:pPr>
        <w:pStyle w:val="ListBullet"/>
        <w:spacing w:after="80"/>
      </w:pPr>
      <w:r>
        <w:t>Opportunity definition, target, and provisional commercial-value range.</w:t>
      </w:r>
    </w:p>
    <w:p>
      <w:pPr>
        <w:pStyle w:val="ListBullet"/>
        <w:spacing w:after="80"/>
      </w:pPr>
      <w:r>
        <w:t>Net-new and expansion treatment rules.</w:t>
      </w:r>
    </w:p>
    <w:p>
      <w:pPr>
        <w:pStyle w:val="ListBullet"/>
        <w:spacing w:after="80"/>
      </w:pPr>
      <w:r>
        <w:t>Primary sales plays and approved campaign thesis.</w:t>
      </w:r>
    </w:p>
    <w:p>
      <w:pPr>
        <w:pStyle w:val="ListBullet"/>
        <w:spacing w:after="80"/>
      </w:pPr>
      <w:r>
        <w:t>Executive sponsor, program owner, sales owner, RevOps owner, and experience owner.</w:t>
      </w:r>
    </w:p>
    <w:p>
      <w:pPr>
        <w:pStyle w:val="ListBullet"/>
        <w:spacing w:after="80"/>
      </w:pPr>
      <w:r>
        <w:t>Systems of record and data-access dependencies.</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Stop condition: </w:t>
      </w:r>
      <w:r>
        <w:rPr>
          <w:color w:val="1F2937"/>
        </w:rPr>
        <w:t>Do not draft a 12-month calendar when the segment, opportunity definition, ownership, or system of record is unresolved. Document the blocker and complete the decision first.</w:t>
      </w:r>
    </w:p>
    <w:p>
      <w:r>
        <w:br w:type="page"/>
      </w:r>
    </w:p>
    <w:p>
      <w:pPr>
        <w:pStyle w:val="Heading1"/>
      </w:pPr>
      <w:r>
        <w:t>5. Build the program economics</w:t>
      </w:r>
    </w:p>
    <w:p>
      <w:r>
        <w:t>Reverse-engineer the funnel from the opportunity target. Use customer history wherever possible. If history is unavailable, publish assumptions as a range and schedule recalibration after a meaningful sample of opportunities.</w:t>
      </w:r>
    </w:p>
    <w:p>
      <w:pPr>
        <w:pStyle w:val="Heading2"/>
      </w:pPr>
      <w:r>
        <w:t>Recommended funnel worksheet</w:t>
      </w:r>
    </w:p>
    <w:tbl>
      <w:tblPr>
        <w:tblStyle w:val="TableGrid"/>
        <w:tblW w:type="dxa" w:w="9360"/>
        <w:jc w:val="left"/>
        <w:tblLayout w:type="fixed"/>
        <w:tblLook w:firstColumn="1" w:firstRow="1" w:lastColumn="0" w:lastRow="0" w:noHBand="0" w:noVBand="1" w:val="04A0"/>
        <w:tblInd w:w="120" w:type="dxa"/>
      </w:tblPr>
      <w:tblGrid>
        <w:gridCol w:w="2600"/>
        <w:gridCol w:w="1900"/>
        <w:gridCol w:w="4860"/>
      </w:tblGrid>
      <w:tr>
        <w:trPr>
          <w:tblHeader w:val="true"/>
        </w:trPr>
        <w:tc>
          <w:tcPr>
            <w:tcW w:type="dxa" w:w="2600"/>
            <w:vAlign w:val="center"/>
            <w:tcMar>
              <w:top w:w="90" w:type="dxa"/>
              <w:start w:w="120" w:type="dxa"/>
              <w:bottom w:w="90" w:type="dxa"/>
              <w:end w:w="120" w:type="dxa"/>
            </w:tcMar>
            <w:shd w:fill="E8EEF5"/>
          </w:tcPr>
          <w:p>
            <w:pPr>
              <w:spacing w:after="0"/>
            </w:pPr>
            <w:r>
              <w:rPr>
                <w:b/>
                <w:color w:val="17365D"/>
                <w:sz w:val="18"/>
              </w:rPr>
              <w:t>Funnel stage</w:t>
            </w:r>
          </w:p>
        </w:tc>
        <w:tc>
          <w:tcPr>
            <w:tcW w:type="dxa" w:w="1900"/>
            <w:vAlign w:val="center"/>
            <w:tcMar>
              <w:top w:w="90" w:type="dxa"/>
              <w:start w:w="120" w:type="dxa"/>
              <w:bottom w:w="90" w:type="dxa"/>
              <w:end w:w="120" w:type="dxa"/>
            </w:tcMar>
            <w:shd w:fill="E8EEF5"/>
          </w:tcPr>
          <w:p>
            <w:pPr>
              <w:spacing w:after="0"/>
            </w:pPr>
            <w:r>
              <w:rPr>
                <w:b/>
                <w:color w:val="17365D"/>
                <w:sz w:val="18"/>
              </w:rPr>
              <w:t>Target</w:t>
            </w:r>
          </w:p>
        </w:tc>
        <w:tc>
          <w:tcPr>
            <w:tcW w:type="dxa" w:w="4860"/>
            <w:vAlign w:val="center"/>
            <w:tcMar>
              <w:top w:w="90" w:type="dxa"/>
              <w:start w:w="120" w:type="dxa"/>
              <w:bottom w:w="90" w:type="dxa"/>
              <w:end w:w="120" w:type="dxa"/>
            </w:tcMar>
            <w:shd w:fill="E8EEF5"/>
          </w:tcPr>
          <w:p>
            <w:pPr>
              <w:spacing w:after="0"/>
            </w:pPr>
            <w:r>
              <w:rPr>
                <w:b/>
                <w:color w:val="17365D"/>
                <w:sz w:val="18"/>
              </w:rPr>
              <w:t>Exit criterion</w:t>
            </w:r>
          </w:p>
        </w:tc>
      </w:tr>
      <w:tr>
        <w:tc>
          <w:tcPr>
            <w:tcW w:type="dxa" w:w="2600"/>
          </w:tcPr>
          <w:p>
            <w:pPr>
              <w:spacing w:after="0" w:line="259" w:lineRule="auto"/>
            </w:pPr>
            <w:r>
              <w:rPr>
                <w:color w:val="1F2937"/>
                <w:sz w:val="18"/>
              </w:rPr>
              <w:t>Named target accounts</w:t>
            </w:r>
          </w:p>
        </w:tc>
        <w:tc>
          <w:tcPr>
            <w:tcW w:type="dxa" w:w="1900"/>
          </w:tcPr>
          <w:p>
            <w:pPr>
              <w:spacing w:after="0" w:line="259" w:lineRule="auto"/>
            </w:pPr>
            <w:r>
              <w:rPr>
                <w:color w:val="1F2937"/>
                <w:sz w:val="18"/>
              </w:rPr>
              <w:t>[TARGET_ACCOUNT_COUNT]</w:t>
            </w:r>
          </w:p>
        </w:tc>
        <w:tc>
          <w:tcPr>
            <w:tcW w:type="dxa" w:w="4860"/>
          </w:tcPr>
          <w:p>
            <w:pPr>
              <w:spacing w:after="0" w:line="259" w:lineRule="auto"/>
            </w:pPr>
            <w:r>
              <w:rPr>
                <w:color w:val="1F2937"/>
                <w:sz w:val="18"/>
              </w:rPr>
              <w:t>ICP fit, ownership, acquisition type and suppressions complete</w:t>
            </w:r>
          </w:p>
        </w:tc>
      </w:tr>
      <w:tr>
        <w:tc>
          <w:tcPr>
            <w:tcW w:type="dxa" w:w="2600"/>
          </w:tcPr>
          <w:p>
            <w:pPr>
              <w:spacing w:after="0" w:line="259" w:lineRule="auto"/>
            </w:pPr>
            <w:r>
              <w:rPr>
                <w:color w:val="1F2937"/>
                <w:sz w:val="18"/>
              </w:rPr>
              <w:t>Reached accounts</w:t>
            </w:r>
          </w:p>
        </w:tc>
        <w:tc>
          <w:tcPr>
            <w:tcW w:type="dxa" w:w="1900"/>
          </w:tcPr>
          <w:p>
            <w:pPr>
              <w:spacing w:after="0" w:line="259" w:lineRule="auto"/>
            </w:pPr>
            <w:r>
              <w:rPr>
                <w:color w:val="1F2937"/>
                <w:sz w:val="18"/>
              </w:rPr>
              <w:t>[REACH_TARGET]</w:t>
            </w:r>
          </w:p>
        </w:tc>
        <w:tc>
          <w:tcPr>
            <w:tcW w:type="dxa" w:w="4860"/>
          </w:tcPr>
          <w:p>
            <w:pPr>
              <w:spacing w:after="0" w:line="259" w:lineRule="auto"/>
            </w:pPr>
            <w:r>
              <w:rPr>
                <w:color w:val="1F2937"/>
                <w:sz w:val="18"/>
              </w:rPr>
              <w:t>Verified paid or owned reach to the intended account/persona</w:t>
            </w:r>
          </w:p>
        </w:tc>
      </w:tr>
      <w:tr>
        <w:tc>
          <w:tcPr>
            <w:tcW w:type="dxa" w:w="2600"/>
          </w:tcPr>
          <w:p>
            <w:pPr>
              <w:spacing w:after="0" w:line="259" w:lineRule="auto"/>
            </w:pPr>
            <w:r>
              <w:rPr>
                <w:color w:val="1F2937"/>
                <w:sz w:val="18"/>
              </w:rPr>
              <w:t>Engaged accounts</w:t>
            </w:r>
          </w:p>
        </w:tc>
        <w:tc>
          <w:tcPr>
            <w:tcW w:type="dxa" w:w="1900"/>
          </w:tcPr>
          <w:p>
            <w:pPr>
              <w:spacing w:after="0" w:line="259" w:lineRule="auto"/>
            </w:pPr>
            <w:r>
              <w:rPr>
                <w:color w:val="1F2937"/>
                <w:sz w:val="18"/>
              </w:rPr>
              <w:t>[ENGAGED_TARGET]</w:t>
            </w:r>
          </w:p>
        </w:tc>
        <w:tc>
          <w:tcPr>
            <w:tcW w:type="dxa" w:w="4860"/>
          </w:tcPr>
          <w:p>
            <w:pPr>
              <w:spacing w:after="0" w:line="259" w:lineRule="auto"/>
            </w:pPr>
            <w:r>
              <w:rPr>
                <w:color w:val="1F2937"/>
                <w:sz w:val="18"/>
              </w:rPr>
              <w:t>Meaningful experience, content, event, reply, or meeting interaction</w:t>
            </w:r>
          </w:p>
        </w:tc>
      </w:tr>
      <w:tr>
        <w:tc>
          <w:tcPr>
            <w:tcW w:type="dxa" w:w="2600"/>
          </w:tcPr>
          <w:p>
            <w:pPr>
              <w:spacing w:after="0" w:line="259" w:lineRule="auto"/>
            </w:pPr>
            <w:r>
              <w:rPr>
                <w:color w:val="1F2937"/>
                <w:sz w:val="18"/>
              </w:rPr>
              <w:t>Buying-group engaged</w:t>
            </w:r>
          </w:p>
        </w:tc>
        <w:tc>
          <w:tcPr>
            <w:tcW w:type="dxa" w:w="1900"/>
          </w:tcPr>
          <w:p>
            <w:pPr>
              <w:spacing w:after="0" w:line="259" w:lineRule="auto"/>
            </w:pPr>
            <w:r>
              <w:rPr>
                <w:color w:val="1F2937"/>
                <w:sz w:val="18"/>
              </w:rPr>
              <w:t>[BUYING_GROUP_TARGET]</w:t>
            </w:r>
          </w:p>
        </w:tc>
        <w:tc>
          <w:tcPr>
            <w:tcW w:type="dxa" w:w="4860"/>
          </w:tcPr>
          <w:p>
            <w:pPr>
              <w:spacing w:after="0" w:line="259" w:lineRule="auto"/>
            </w:pPr>
            <w:r>
              <w:rPr>
                <w:color w:val="1F2937"/>
                <w:sz w:val="18"/>
              </w:rPr>
              <w:t>Required number and mix of engaged personas</w:t>
            </w:r>
          </w:p>
        </w:tc>
      </w:tr>
      <w:tr>
        <w:tc>
          <w:tcPr>
            <w:tcW w:type="dxa" w:w="2600"/>
          </w:tcPr>
          <w:p>
            <w:pPr>
              <w:spacing w:after="0" w:line="259" w:lineRule="auto"/>
            </w:pPr>
            <w:r>
              <w:rPr>
                <w:color w:val="1F2937"/>
                <w:sz w:val="18"/>
              </w:rPr>
              <w:t>Qualified account</w:t>
            </w:r>
          </w:p>
        </w:tc>
        <w:tc>
          <w:tcPr>
            <w:tcW w:type="dxa" w:w="1900"/>
          </w:tcPr>
          <w:p>
            <w:pPr>
              <w:spacing w:after="0" w:line="259" w:lineRule="auto"/>
            </w:pPr>
            <w:r>
              <w:rPr>
                <w:color w:val="1F2937"/>
                <w:sz w:val="18"/>
              </w:rPr>
              <w:t>[QUALIFIED_ACCOUNT_TARGET]</w:t>
            </w:r>
          </w:p>
        </w:tc>
        <w:tc>
          <w:tcPr>
            <w:tcW w:type="dxa" w:w="4860"/>
          </w:tcPr>
          <w:p>
            <w:pPr>
              <w:spacing w:after="0" w:line="259" w:lineRule="auto"/>
            </w:pPr>
            <w:r>
              <w:rPr>
                <w:color w:val="1F2937"/>
                <w:sz w:val="18"/>
              </w:rPr>
              <w:t>Fit plus agreed intelligence and first-party thresholds</w:t>
            </w:r>
          </w:p>
        </w:tc>
      </w:tr>
      <w:tr>
        <w:tc>
          <w:tcPr>
            <w:tcW w:type="dxa" w:w="2600"/>
          </w:tcPr>
          <w:p>
            <w:pPr>
              <w:spacing w:after="0" w:line="259" w:lineRule="auto"/>
            </w:pPr>
            <w:r>
              <w:rPr>
                <w:color w:val="1F2937"/>
                <w:sz w:val="18"/>
              </w:rPr>
              <w:t>Qualified meeting</w:t>
            </w:r>
          </w:p>
        </w:tc>
        <w:tc>
          <w:tcPr>
            <w:tcW w:type="dxa" w:w="1900"/>
          </w:tcPr>
          <w:p>
            <w:pPr>
              <w:spacing w:after="0" w:line="259" w:lineRule="auto"/>
            </w:pPr>
            <w:r>
              <w:rPr>
                <w:color w:val="1F2937"/>
                <w:sz w:val="18"/>
              </w:rPr>
              <w:t>[MEETING_TARGET]</w:t>
            </w:r>
          </w:p>
        </w:tc>
        <w:tc>
          <w:tcPr>
            <w:tcW w:type="dxa" w:w="4860"/>
          </w:tcPr>
          <w:p>
            <w:pPr>
              <w:spacing w:after="0" w:line="259" w:lineRule="auto"/>
            </w:pPr>
            <w:r>
              <w:rPr>
                <w:color w:val="1F2937"/>
                <w:sz w:val="18"/>
              </w:rPr>
              <w:t>Relevant stakeholder, validated problem, and discovery completed</w:t>
            </w:r>
          </w:p>
        </w:tc>
      </w:tr>
      <w:tr>
        <w:tc>
          <w:tcPr>
            <w:tcW w:type="dxa" w:w="2600"/>
          </w:tcPr>
          <w:p>
            <w:pPr>
              <w:spacing w:after="0" w:line="259" w:lineRule="auto"/>
            </w:pPr>
            <w:r>
              <w:rPr>
                <w:color w:val="1F2937"/>
                <w:sz w:val="18"/>
              </w:rPr>
              <w:t>Sales-accepted opportunity</w:t>
            </w:r>
          </w:p>
        </w:tc>
        <w:tc>
          <w:tcPr>
            <w:tcW w:type="dxa" w:w="1900"/>
          </w:tcPr>
          <w:p>
            <w:pPr>
              <w:spacing w:after="0" w:line="259" w:lineRule="auto"/>
            </w:pPr>
            <w:r>
              <w:rPr>
                <w:color w:val="1F2937"/>
                <w:sz w:val="18"/>
              </w:rPr>
              <w:t>[OPPORTUNITY_TARGET]</w:t>
            </w:r>
          </w:p>
        </w:tc>
        <w:tc>
          <w:tcPr>
            <w:tcW w:type="dxa" w:w="4860"/>
          </w:tcPr>
          <w:p>
            <w:pPr>
              <w:spacing w:after="0" w:line="259" w:lineRule="auto"/>
            </w:pPr>
            <w:r>
              <w:rPr>
                <w:color w:val="1F2937"/>
                <w:sz w:val="18"/>
              </w:rPr>
              <w:t>CRM opportunity meets the customer's acceptance definition</w:t>
            </w:r>
          </w:p>
        </w:tc>
      </w:tr>
    </w:tbl>
    <w:p>
      <w:pPr>
        <w:spacing w:after="20"/>
      </w:pPr>
    </w:p>
    <w:p>
      <w:pPr>
        <w:pStyle w:val="Heading2"/>
      </w:pPr>
      <w:r>
        <w:t>Commercial model</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vAlign w:val="center"/>
            <w:tcMar>
              <w:top w:w="90" w:type="dxa"/>
              <w:start w:w="120" w:type="dxa"/>
              <w:bottom w:w="90" w:type="dxa"/>
              <w:end w:w="120" w:type="dxa"/>
            </w:tcMar>
            <w:shd w:fill="E8EEF5"/>
          </w:tcPr>
          <w:p>
            <w:pPr>
              <w:spacing w:after="0"/>
            </w:pPr>
            <w:r>
              <w:rPr>
                <w:b/>
                <w:color w:val="17365D"/>
                <w:sz w:val="18"/>
              </w:rPr>
              <w:t>Scenario</w:t>
            </w:r>
          </w:p>
        </w:tc>
        <w:tc>
          <w:tcPr>
            <w:tcW w:type="dxa" w:w="3000"/>
            <w:vAlign w:val="center"/>
            <w:tcMar>
              <w:top w:w="90" w:type="dxa"/>
              <w:start w:w="120" w:type="dxa"/>
              <w:bottom w:w="90" w:type="dxa"/>
              <w:end w:w="120" w:type="dxa"/>
            </w:tcMar>
            <w:shd w:fill="E8EEF5"/>
          </w:tcPr>
          <w:p>
            <w:pPr>
              <w:spacing w:after="0"/>
            </w:pPr>
            <w:r>
              <w:rPr>
                <w:b/>
                <w:color w:val="17365D"/>
                <w:sz w:val="18"/>
              </w:rPr>
              <w:t>Value</w:t>
            </w:r>
          </w:p>
        </w:tc>
        <w:tc>
          <w:tcPr>
            <w:tcW w:type="dxa" w:w="4560"/>
            <w:vAlign w:val="center"/>
            <w:tcMar>
              <w:top w:w="90" w:type="dxa"/>
              <w:start w:w="120" w:type="dxa"/>
              <w:bottom w:w="90" w:type="dxa"/>
              <w:end w:w="120" w:type="dxa"/>
            </w:tcMar>
            <w:shd w:fill="E8EEF5"/>
          </w:tcPr>
          <w:p>
            <w:pPr>
              <w:spacing w:after="0"/>
            </w:pPr>
            <w:r>
              <w:rPr>
                <w:b/>
                <w:color w:val="17365D"/>
                <w:sz w:val="18"/>
              </w:rPr>
              <w:t>Interpretation</w:t>
            </w:r>
          </w:p>
        </w:tc>
      </w:tr>
      <w:tr>
        <w:tc>
          <w:tcPr>
            <w:tcW w:type="dxa" w:w="1800"/>
          </w:tcPr>
          <w:p>
            <w:pPr>
              <w:spacing w:after="0" w:line="259" w:lineRule="auto"/>
            </w:pPr>
            <w:r>
              <w:rPr>
                <w:color w:val="1F2937"/>
                <w:sz w:val="18"/>
              </w:rPr>
              <w:t>Low</w:t>
            </w:r>
          </w:p>
        </w:tc>
        <w:tc>
          <w:tcPr>
            <w:tcW w:type="dxa" w:w="3000"/>
          </w:tcPr>
          <w:p>
            <w:pPr>
              <w:spacing w:after="0" w:line="259" w:lineRule="auto"/>
            </w:pPr>
            <w:r>
              <w:rPr>
                <w:color w:val="1F2937"/>
                <w:sz w:val="18"/>
              </w:rPr>
              <w:t>[LOW_OPPORTUNITY_VALUE]</w:t>
            </w:r>
          </w:p>
        </w:tc>
        <w:tc>
          <w:tcPr>
            <w:tcW w:type="dxa" w:w="4560"/>
          </w:tcPr>
          <w:p>
            <w:pPr>
              <w:spacing w:after="0" w:line="259" w:lineRule="auto"/>
            </w:pPr>
            <w:r>
              <w:rPr>
                <w:color w:val="1F2937"/>
                <w:sz w:val="18"/>
              </w:rPr>
              <w:t>Conservative gross opportunity value</w:t>
            </w:r>
          </w:p>
        </w:tc>
      </w:tr>
      <w:tr>
        <w:tc>
          <w:tcPr>
            <w:tcW w:type="dxa" w:w="1800"/>
          </w:tcPr>
          <w:p>
            <w:pPr>
              <w:spacing w:after="0" w:line="259" w:lineRule="auto"/>
            </w:pPr>
            <w:r>
              <w:rPr>
                <w:color w:val="1F2937"/>
                <w:sz w:val="18"/>
              </w:rPr>
              <w:t>Base</w:t>
            </w:r>
          </w:p>
        </w:tc>
        <w:tc>
          <w:tcPr>
            <w:tcW w:type="dxa" w:w="3000"/>
          </w:tcPr>
          <w:p>
            <w:pPr>
              <w:spacing w:after="0" w:line="259" w:lineRule="auto"/>
            </w:pPr>
            <w:r>
              <w:rPr>
                <w:color w:val="1F2937"/>
                <w:sz w:val="18"/>
              </w:rPr>
              <w:t>[AVERAGE_OPPORTUNITY_VALUE]</w:t>
            </w:r>
          </w:p>
        </w:tc>
        <w:tc>
          <w:tcPr>
            <w:tcW w:type="dxa" w:w="4560"/>
          </w:tcPr>
          <w:p>
            <w:pPr>
              <w:spacing w:after="0" w:line="259" w:lineRule="auto"/>
            </w:pPr>
            <w:r>
              <w:rPr>
                <w:color w:val="1F2937"/>
                <w:sz w:val="18"/>
              </w:rPr>
              <w:t>Working planning assumption</w:t>
            </w:r>
          </w:p>
        </w:tc>
      </w:tr>
      <w:tr>
        <w:tc>
          <w:tcPr>
            <w:tcW w:type="dxa" w:w="1800"/>
          </w:tcPr>
          <w:p>
            <w:pPr>
              <w:spacing w:after="0" w:line="259" w:lineRule="auto"/>
            </w:pPr>
            <w:r>
              <w:rPr>
                <w:color w:val="1F2937"/>
                <w:sz w:val="18"/>
              </w:rPr>
              <w:t>High</w:t>
            </w:r>
          </w:p>
        </w:tc>
        <w:tc>
          <w:tcPr>
            <w:tcW w:type="dxa" w:w="3000"/>
          </w:tcPr>
          <w:p>
            <w:pPr>
              <w:spacing w:after="0" w:line="259" w:lineRule="auto"/>
            </w:pPr>
            <w:r>
              <w:rPr>
                <w:color w:val="1F2937"/>
                <w:sz w:val="18"/>
              </w:rPr>
              <w:t>[HIGH_OPPORTUNITY_VALUE]</w:t>
            </w:r>
          </w:p>
        </w:tc>
        <w:tc>
          <w:tcPr>
            <w:tcW w:type="dxa" w:w="4560"/>
          </w:tcPr>
          <w:p>
            <w:pPr>
              <w:spacing w:after="0" w:line="259" w:lineRule="auto"/>
            </w:pPr>
            <w:r>
              <w:rPr>
                <w:color w:val="1F2937"/>
                <w:sz w:val="18"/>
              </w:rPr>
              <w:t>Upper planning scenario</w:t>
            </w:r>
          </w:p>
        </w:tc>
      </w:tr>
      <w:tr>
        <w:tc>
          <w:tcPr>
            <w:tcW w:type="dxa" w:w="1800"/>
          </w:tcPr>
          <w:p>
            <w:pPr>
              <w:spacing w:after="0" w:line="259" w:lineRule="auto"/>
            </w:pPr>
            <w:r>
              <w:rPr>
                <w:color w:val="1F2937"/>
                <w:sz w:val="18"/>
              </w:rPr>
              <w:t>Total gross opportunity value</w:t>
            </w:r>
          </w:p>
        </w:tc>
        <w:tc>
          <w:tcPr>
            <w:tcW w:type="dxa" w:w="3000"/>
          </w:tcPr>
          <w:p>
            <w:pPr>
              <w:spacing w:after="0" w:line="259" w:lineRule="auto"/>
            </w:pPr>
            <w:r>
              <w:rPr>
                <w:color w:val="1F2937"/>
                <w:sz w:val="18"/>
              </w:rPr>
              <w:t>[OPPORTUNITY_TARGET] × scenario value</w:t>
            </w:r>
          </w:p>
        </w:tc>
        <w:tc>
          <w:tcPr>
            <w:tcW w:type="dxa" w:w="4560"/>
          </w:tcPr>
          <w:p>
            <w:pPr>
              <w:spacing w:after="0" w:line="259" w:lineRule="auto"/>
            </w:pPr>
            <w:r>
              <w:rPr>
                <w:color w:val="1F2937"/>
                <w:sz w:val="18"/>
              </w:rPr>
              <w:t>Not revenue and not probability-weighted pipeline</w:t>
            </w:r>
          </w:p>
        </w:tc>
      </w:tr>
    </w:tbl>
    <w:p>
      <w:pPr>
        <w:spacing w:after="20"/>
      </w:pPr>
    </w:p>
    <w:p>
      <w:pPr>
        <w:pStyle w:val="ListBullet"/>
        <w:spacing w:after="80"/>
      </w:pPr>
      <w:r>
        <w:t>Add monthly opportunity and gross-value targets to the campaign calendar.</w:t>
      </w:r>
    </w:p>
    <w:p>
      <w:pPr>
        <w:pStyle w:val="ListBullet"/>
        <w:spacing w:after="80"/>
      </w:pPr>
      <w:r>
        <w:t>Track net-new and expansion values separately even when they share the same total target.</w:t>
      </w:r>
    </w:p>
    <w:p>
      <w:pPr>
        <w:pStyle w:val="ListBullet"/>
        <w:spacing w:after="80"/>
      </w:pPr>
      <w:r>
        <w:t>Do not assign revenue or bookings without the customer's probability and timing model.</w:t>
      </w:r>
    </w:p>
    <w:p>
      <w:pPr>
        <w:pStyle w:val="ListBullet"/>
        <w:spacing w:after="80"/>
      </w:pPr>
      <w:r>
        <w:t>Recalibrate opportunity value and conversion assumptions after the first [RECALIBRATION_SAMPLE_SIZE] accepted opportunities.</w:t>
      </w:r>
    </w:p>
    <w:p>
      <w:r>
        <w:br w:type="page"/>
      </w:r>
    </w:p>
    <w:p>
      <w:pPr>
        <w:pStyle w:val="Heading1"/>
      </w:pPr>
      <w:r>
        <w:t>6. Complete the Folloze Academy ABX Blueprint</w:t>
      </w:r>
    </w:p>
    <w:p>
      <w:r>
        <w:t>Use the copied Academy workbook as the control structure. Populate each pillar from the customer evidence, not from another account's completed cells.</w:t>
      </w:r>
    </w:p>
    <w:tbl>
      <w:tblPr>
        <w:tblStyle w:val="TableGrid"/>
        <w:tblW w:type="dxa" w:w="9360"/>
        <w:jc w:val="left"/>
        <w:tblLayout w:type="fixed"/>
        <w:tblLook w:firstColumn="1" w:firstRow="1" w:lastColumn="0" w:lastRow="0" w:noHBand="0" w:noVBand="1" w:val="04A0"/>
        <w:tblInd w:w="120" w:type="dxa"/>
      </w:tblPr>
      <w:tblGrid>
        <w:gridCol w:w="1500"/>
        <w:gridCol w:w="4200"/>
        <w:gridCol w:w="3660"/>
      </w:tblGrid>
      <w:tr>
        <w:trPr>
          <w:tblHeader w:val="true"/>
        </w:trPr>
        <w:tc>
          <w:tcPr>
            <w:tcW w:type="dxa" w:w="1500"/>
            <w:vAlign w:val="center"/>
            <w:tcMar>
              <w:top w:w="90" w:type="dxa"/>
              <w:start w:w="120" w:type="dxa"/>
              <w:bottom w:w="90" w:type="dxa"/>
              <w:end w:w="120" w:type="dxa"/>
            </w:tcMar>
            <w:shd w:fill="E8EEF5"/>
          </w:tcPr>
          <w:p>
            <w:pPr>
              <w:spacing w:after="0"/>
            </w:pPr>
            <w:r>
              <w:rPr>
                <w:b/>
                <w:color w:val="17365D"/>
                <w:sz w:val="18"/>
              </w:rPr>
              <w:t>Pillar</w:t>
            </w:r>
          </w:p>
        </w:tc>
        <w:tc>
          <w:tcPr>
            <w:tcW w:type="dxa" w:w="4200"/>
            <w:vAlign w:val="center"/>
            <w:tcMar>
              <w:top w:w="90" w:type="dxa"/>
              <w:start w:w="120" w:type="dxa"/>
              <w:bottom w:w="90" w:type="dxa"/>
              <w:end w:w="120" w:type="dxa"/>
            </w:tcMar>
            <w:shd w:fill="E8EEF5"/>
          </w:tcPr>
          <w:p>
            <w:pPr>
              <w:spacing w:after="0"/>
            </w:pPr>
            <w:r>
              <w:rPr>
                <w:b/>
                <w:color w:val="17365D"/>
                <w:sz w:val="18"/>
              </w:rPr>
              <w:t>What to decide</w:t>
            </w:r>
          </w:p>
        </w:tc>
        <w:tc>
          <w:tcPr>
            <w:tcW w:type="dxa" w:w="3660"/>
            <w:vAlign w:val="center"/>
            <w:tcMar>
              <w:top w:w="90" w:type="dxa"/>
              <w:start w:w="120" w:type="dxa"/>
              <w:bottom w:w="90" w:type="dxa"/>
              <w:end w:w="120" w:type="dxa"/>
            </w:tcMar>
            <w:shd w:fill="E8EEF5"/>
          </w:tcPr>
          <w:p>
            <w:pPr>
              <w:spacing w:after="0"/>
            </w:pPr>
            <w:r>
              <w:rPr>
                <w:b/>
                <w:color w:val="17365D"/>
                <w:sz w:val="18"/>
              </w:rPr>
              <w:t>Primary inputs</w:t>
            </w:r>
          </w:p>
        </w:tc>
      </w:tr>
      <w:tr>
        <w:tc>
          <w:tcPr>
            <w:tcW w:type="dxa" w:w="1500"/>
          </w:tcPr>
          <w:p>
            <w:pPr>
              <w:spacing w:after="0" w:line="259" w:lineRule="auto"/>
            </w:pPr>
            <w:r>
              <w:rPr>
                <w:color w:val="1F2937"/>
                <w:sz w:val="18"/>
              </w:rPr>
              <w:t>Alignment</w:t>
            </w:r>
          </w:p>
        </w:tc>
        <w:tc>
          <w:tcPr>
            <w:tcW w:type="dxa" w:w="4200"/>
          </w:tcPr>
          <w:p>
            <w:pPr>
              <w:spacing w:after="0" w:line="259" w:lineRule="auto"/>
            </w:pPr>
            <w:r>
              <w:rPr>
                <w:color w:val="1F2937"/>
                <w:sz w:val="18"/>
              </w:rPr>
              <w:t>Define stages, volumes, GTM roles, ABM treatment, goals and opportunity definition.</w:t>
            </w:r>
          </w:p>
        </w:tc>
        <w:tc>
          <w:tcPr>
            <w:tcW w:type="dxa" w:w="3660"/>
          </w:tcPr>
          <w:p>
            <w:pPr>
              <w:spacing w:after="0" w:line="259" w:lineRule="auto"/>
            </w:pPr>
            <w:r>
              <w:rPr>
                <w:color w:val="1F2937"/>
                <w:sz w:val="18"/>
              </w:rPr>
              <w:t>CRM stages, account intelligence stages, sales process, account segmentation</w:t>
            </w:r>
          </w:p>
        </w:tc>
      </w:tr>
      <w:tr>
        <w:tc>
          <w:tcPr>
            <w:tcW w:type="dxa" w:w="1500"/>
          </w:tcPr>
          <w:p>
            <w:pPr>
              <w:spacing w:after="0" w:line="259" w:lineRule="auto"/>
            </w:pPr>
            <w:r>
              <w:rPr>
                <w:color w:val="1F2937"/>
                <w:sz w:val="18"/>
              </w:rPr>
              <w:t>Experiences</w:t>
            </w:r>
          </w:p>
        </w:tc>
        <w:tc>
          <w:tcPr>
            <w:tcW w:type="dxa" w:w="4200"/>
          </w:tcPr>
          <w:p>
            <w:pPr>
              <w:spacing w:after="0" w:line="259" w:lineRule="auto"/>
            </w:pPr>
            <w:r>
              <w:rPr>
                <w:color w:val="1F2937"/>
                <w:sz w:val="18"/>
              </w:rPr>
              <w:t>Define message approach, personas, content, intent themes and personalization by stage.</w:t>
            </w:r>
          </w:p>
        </w:tc>
        <w:tc>
          <w:tcPr>
            <w:tcW w:type="dxa" w:w="3660"/>
          </w:tcPr>
          <w:p>
            <w:pPr>
              <w:spacing w:after="0" w:line="259" w:lineRule="auto"/>
            </w:pPr>
            <w:r>
              <w:rPr>
                <w:color w:val="1F2937"/>
                <w:sz w:val="18"/>
              </w:rPr>
              <w:t>Product marketing, content inventory, engagement data, customer research</w:t>
            </w:r>
          </w:p>
        </w:tc>
      </w:tr>
      <w:tr>
        <w:tc>
          <w:tcPr>
            <w:tcW w:type="dxa" w:w="1500"/>
          </w:tcPr>
          <w:p>
            <w:pPr>
              <w:spacing w:after="0" w:line="259" w:lineRule="auto"/>
            </w:pPr>
            <w:r>
              <w:rPr>
                <w:color w:val="1F2937"/>
                <w:sz w:val="18"/>
              </w:rPr>
              <w:t>Engagement</w:t>
            </w:r>
          </w:p>
        </w:tc>
        <w:tc>
          <w:tcPr>
            <w:tcW w:type="dxa" w:w="4200"/>
          </w:tcPr>
          <w:p>
            <w:pPr>
              <w:spacing w:after="0" w:line="259" w:lineRule="auto"/>
            </w:pPr>
            <w:r>
              <w:rPr>
                <w:color w:val="1F2937"/>
                <w:sz w:val="18"/>
              </w:rPr>
              <w:t>Choose when each channel and experience is used across the journey.</w:t>
            </w:r>
          </w:p>
        </w:tc>
        <w:tc>
          <w:tcPr>
            <w:tcW w:type="dxa" w:w="3660"/>
          </w:tcPr>
          <w:p>
            <w:pPr>
              <w:spacing w:after="0" w:line="259" w:lineRule="auto"/>
            </w:pPr>
            <w:r>
              <w:rPr>
                <w:color w:val="1F2937"/>
                <w:sz w:val="18"/>
              </w:rPr>
              <w:t>Channel capabilities, audiences, permissions, regional plans, seller motion</w:t>
            </w:r>
          </w:p>
        </w:tc>
      </w:tr>
      <w:tr>
        <w:tc>
          <w:tcPr>
            <w:tcW w:type="dxa" w:w="1500"/>
          </w:tcPr>
          <w:p>
            <w:pPr>
              <w:spacing w:after="0" w:line="259" w:lineRule="auto"/>
            </w:pPr>
            <w:r>
              <w:rPr>
                <w:color w:val="1F2937"/>
                <w:sz w:val="18"/>
              </w:rPr>
              <w:t>Signals</w:t>
            </w:r>
          </w:p>
        </w:tc>
        <w:tc>
          <w:tcPr>
            <w:tcW w:type="dxa" w:w="4200"/>
          </w:tcPr>
          <w:p>
            <w:pPr>
              <w:spacing w:after="0" w:line="259" w:lineRule="auto"/>
            </w:pPr>
            <w:r>
              <w:rPr>
                <w:color w:val="1F2937"/>
                <w:sz w:val="18"/>
              </w:rPr>
              <w:t>Translate signal combinations into marketing and sales actions, SLAs, upgrades and downgrades.</w:t>
            </w:r>
          </w:p>
        </w:tc>
        <w:tc>
          <w:tcPr>
            <w:tcW w:type="dxa" w:w="3660"/>
          </w:tcPr>
          <w:p>
            <w:pPr>
              <w:spacing w:after="0" w:line="259" w:lineRule="auto"/>
            </w:pPr>
            <w:r>
              <w:rPr>
                <w:color w:val="1F2937"/>
                <w:sz w:val="18"/>
              </w:rPr>
              <w:t>Intent, Folloze engagement, CRM context, sales capacity, data governance</w:t>
            </w:r>
          </w:p>
        </w:tc>
      </w:tr>
    </w:tbl>
    <w:p>
      <w:pPr>
        <w:spacing w:after="20"/>
      </w:pPr>
    </w:p>
    <w:p>
      <w:pPr>
        <w:pStyle w:val="Heading2"/>
      </w:pPr>
      <w:r>
        <w:t>Stage-design rules</w:t>
      </w:r>
    </w:p>
    <w:p>
      <w:pPr>
        <w:pStyle w:val="ListBullet"/>
        <w:spacing w:after="80"/>
      </w:pPr>
      <w:r>
        <w:t>Target/Awareness: educate before asking for a meeting; keep useful content ungated where possible.</w:t>
      </w:r>
    </w:p>
    <w:p>
      <w:pPr>
        <w:pStyle w:val="ListBullet"/>
        <w:spacing w:after="80"/>
      </w:pPr>
      <w:r>
        <w:t>Consideration: route by buyer question, persona, use case, region, or workload; use guides and events as soft conversion paths.</w:t>
      </w:r>
    </w:p>
    <w:p>
      <w:pPr>
        <w:pStyle w:val="ListBullet"/>
        <w:spacing w:after="80"/>
      </w:pPr>
      <w:r>
        <w:t>Decision: introduce proof, architecture, commercial value, partner validation, and account-specific experiences.</w:t>
      </w:r>
    </w:p>
    <w:p>
      <w:pPr>
        <w:pStyle w:val="ListBullet"/>
        <w:spacing w:after="80"/>
      </w:pPr>
      <w:r>
        <w:t>Qualified/opportunity: remove generic nurture friction and use digital sales rooms, stakeholder tracks, FAQs, next steps, and a mutual action plan.</w:t>
      </w:r>
    </w:p>
    <w:p>
      <w:pPr>
        <w:pStyle w:val="ListBullet"/>
        <w:spacing w:after="80"/>
      </w:pPr>
      <w:r>
        <w:t>Lost interest: reduce pressure, test a new trigger or proof point, and define re-entry criteria.</w:t>
      </w:r>
    </w:p>
    <w:p>
      <w:pPr>
        <w:pStyle w:val="Heading2"/>
      </w:pPr>
      <w:r>
        <w:t>Personalization progression</w:t>
      </w:r>
    </w:p>
    <w:p>
      <w:r>
        <w:t>Start with scalable variables such as persona, region, vertical, use case, and stage. Add account, relationship, technology stack, engaged content, opportunity context, and next milestone only as the account earns deeper treatment.</w:t>
      </w:r>
    </w:p>
    <w:p>
      <w:r>
        <w:br w:type="page"/>
      </w:r>
    </w:p>
    <w:p>
      <w:pPr>
        <w:pStyle w:val="Heading1"/>
      </w:pPr>
      <w:r>
        <w:t>7. Define the technology and data operating model</w:t>
      </w:r>
    </w:p>
    <w:p>
      <w:r>
        <w:t>Do not assume a particular platform. Identify the customer's installed stack, then map each system to one role and one set of required outputs. The experience and handoff should remain coherent even when the vendor names change.</w:t>
      </w:r>
    </w:p>
    <w:tbl>
      <w:tblPr>
        <w:tblStyle w:val="TableGrid"/>
        <w:tblW w:type="dxa" w:w="9360"/>
        <w:jc w:val="left"/>
        <w:tblLayout w:type="fixed"/>
        <w:tblLook w:firstColumn="1" w:firstRow="1" w:lastColumn="0" w:lastRow="0" w:noHBand="0" w:noVBand="1" w:val="04A0"/>
        <w:tblInd w:w="120" w:type="dxa"/>
      </w:tblPr>
      <w:tblGrid>
        <w:gridCol w:w="2600"/>
        <w:gridCol w:w="3420"/>
        <w:gridCol w:w="3340"/>
      </w:tblGrid>
      <w:tr>
        <w:trPr>
          <w:tblHeader w:val="true"/>
        </w:trPr>
        <w:tc>
          <w:tcPr>
            <w:tcW w:type="dxa" w:w="2600"/>
            <w:vAlign w:val="center"/>
            <w:tcMar>
              <w:top w:w="90" w:type="dxa"/>
              <w:start w:w="120" w:type="dxa"/>
              <w:bottom w:w="90" w:type="dxa"/>
              <w:end w:w="120" w:type="dxa"/>
            </w:tcMar>
            <w:shd w:fill="E8EEF5"/>
          </w:tcPr>
          <w:p>
            <w:pPr>
              <w:spacing w:after="0"/>
            </w:pPr>
            <w:r>
              <w:rPr>
                <w:b/>
                <w:color w:val="17365D"/>
                <w:sz w:val="17"/>
              </w:rPr>
              <w:t>System</w:t>
            </w:r>
          </w:p>
        </w:tc>
        <w:tc>
          <w:tcPr>
            <w:tcW w:type="dxa" w:w="3420"/>
            <w:vAlign w:val="center"/>
            <w:tcMar>
              <w:top w:w="90" w:type="dxa"/>
              <w:start w:w="120" w:type="dxa"/>
              <w:bottom w:w="90" w:type="dxa"/>
              <w:end w:w="120" w:type="dxa"/>
            </w:tcMar>
            <w:shd w:fill="E8EEF5"/>
          </w:tcPr>
          <w:p>
            <w:pPr>
              <w:spacing w:after="0"/>
            </w:pPr>
            <w:r>
              <w:rPr>
                <w:b/>
                <w:color w:val="17365D"/>
                <w:sz w:val="17"/>
              </w:rPr>
              <w:t>Program role</w:t>
            </w:r>
          </w:p>
        </w:tc>
        <w:tc>
          <w:tcPr>
            <w:tcW w:type="dxa" w:w="3340"/>
            <w:vAlign w:val="center"/>
            <w:tcMar>
              <w:top w:w="90" w:type="dxa"/>
              <w:start w:w="120" w:type="dxa"/>
              <w:bottom w:w="90" w:type="dxa"/>
              <w:end w:w="120" w:type="dxa"/>
            </w:tcMar>
            <w:shd w:fill="E8EEF5"/>
          </w:tcPr>
          <w:p>
            <w:pPr>
              <w:spacing w:after="0"/>
            </w:pPr>
            <w:r>
              <w:rPr>
                <w:b/>
                <w:color w:val="17365D"/>
                <w:sz w:val="17"/>
              </w:rPr>
              <w:t>Required outputs</w:t>
            </w:r>
          </w:p>
        </w:tc>
      </w:tr>
      <w:tr>
        <w:tc>
          <w:tcPr>
            <w:tcW w:type="dxa" w:w="2600"/>
          </w:tcPr>
          <w:p>
            <w:pPr>
              <w:spacing w:after="0" w:line="259" w:lineRule="auto"/>
            </w:pPr>
            <w:r>
              <w:rPr>
                <w:color w:val="1F2937"/>
                <w:sz w:val="17"/>
              </w:rPr>
              <w:t>[ACCOUNT_INTELLIGENCE_PLATFORM]</w:t>
            </w:r>
          </w:p>
        </w:tc>
        <w:tc>
          <w:tcPr>
            <w:tcW w:type="dxa" w:w="3420"/>
          </w:tcPr>
          <w:p>
            <w:pPr>
              <w:spacing w:after="0" w:line="259" w:lineRule="auto"/>
            </w:pPr>
            <w:r>
              <w:rPr>
                <w:color w:val="1F2937"/>
                <w:sz w:val="17"/>
              </w:rPr>
              <w:t>Fit, intent, buying stage, audiences, qualification and orchestration</w:t>
            </w:r>
          </w:p>
        </w:tc>
        <w:tc>
          <w:tcPr>
            <w:tcW w:type="dxa" w:w="3340"/>
          </w:tcPr>
          <w:p>
            <w:pPr>
              <w:spacing w:after="0" w:line="259" w:lineRule="auto"/>
            </w:pPr>
            <w:r>
              <w:rPr>
                <w:color w:val="1F2937"/>
                <w:sz w:val="17"/>
              </w:rPr>
              <w:t>Prioritized accounts, stage movement, intent topics, qualification flags and alerts</w:t>
            </w:r>
          </w:p>
        </w:tc>
      </w:tr>
      <w:tr>
        <w:tc>
          <w:tcPr>
            <w:tcW w:type="dxa" w:w="2600"/>
          </w:tcPr>
          <w:p>
            <w:pPr>
              <w:spacing w:after="0" w:line="259" w:lineRule="auto"/>
            </w:pPr>
            <w:r>
              <w:rPr>
                <w:color w:val="1F2937"/>
                <w:sz w:val="17"/>
              </w:rPr>
              <w:t>Folloze</w:t>
            </w:r>
          </w:p>
        </w:tc>
        <w:tc>
          <w:tcPr>
            <w:tcW w:type="dxa" w:w="3420"/>
          </w:tcPr>
          <w:p>
            <w:pPr>
              <w:spacing w:after="0" w:line="259" w:lineRule="auto"/>
            </w:pPr>
            <w:r>
              <w:rPr>
                <w:color w:val="1F2937"/>
                <w:sz w:val="17"/>
              </w:rPr>
              <w:t>Governed buyer experiences and first-party engagement</w:t>
            </w:r>
          </w:p>
        </w:tc>
        <w:tc>
          <w:tcPr>
            <w:tcW w:type="dxa" w:w="3340"/>
          </w:tcPr>
          <w:p>
            <w:pPr>
              <w:spacing w:after="0" w:line="259" w:lineRule="auto"/>
            </w:pPr>
            <w:r>
              <w:rPr>
                <w:color w:val="1F2937"/>
                <w:sz w:val="17"/>
              </w:rPr>
              <w:t>Visits, time, assets, CTAs, engaged people, engagement stage and last content</w:t>
            </w:r>
          </w:p>
        </w:tc>
      </w:tr>
      <w:tr>
        <w:tc>
          <w:tcPr>
            <w:tcW w:type="dxa" w:w="2600"/>
          </w:tcPr>
          <w:p>
            <w:pPr>
              <w:spacing w:after="0" w:line="259" w:lineRule="auto"/>
            </w:pPr>
            <w:r>
              <w:rPr>
                <w:color w:val="1F2937"/>
                <w:sz w:val="17"/>
              </w:rPr>
              <w:t>[CRM]</w:t>
            </w:r>
          </w:p>
        </w:tc>
        <w:tc>
          <w:tcPr>
            <w:tcW w:type="dxa" w:w="3420"/>
          </w:tcPr>
          <w:p>
            <w:pPr>
              <w:spacing w:after="0" w:line="259" w:lineRule="auto"/>
            </w:pPr>
            <w:r>
              <w:rPr>
                <w:color w:val="1F2937"/>
                <w:sz w:val="17"/>
              </w:rPr>
              <w:t>Account, opportunity, owner, campaign and revenue source of truth</w:t>
            </w:r>
          </w:p>
        </w:tc>
        <w:tc>
          <w:tcPr>
            <w:tcW w:type="dxa" w:w="3340"/>
          </w:tcPr>
          <w:p>
            <w:pPr>
              <w:spacing w:after="0" w:line="259" w:lineRule="auto"/>
            </w:pPr>
            <w:r>
              <w:rPr>
                <w:color w:val="1F2937"/>
                <w:sz w:val="17"/>
              </w:rPr>
              <w:t>Acceptance date, value, stage, next step, influence and disposition</w:t>
            </w:r>
          </w:p>
        </w:tc>
      </w:tr>
      <w:tr>
        <w:tc>
          <w:tcPr>
            <w:tcW w:type="dxa" w:w="2600"/>
          </w:tcPr>
          <w:p>
            <w:pPr>
              <w:spacing w:after="0" w:line="259" w:lineRule="auto"/>
            </w:pPr>
            <w:r>
              <w:rPr>
                <w:color w:val="1F2937"/>
                <w:sz w:val="17"/>
              </w:rPr>
              <w:t>[MAP]</w:t>
            </w:r>
          </w:p>
        </w:tc>
        <w:tc>
          <w:tcPr>
            <w:tcW w:type="dxa" w:w="3420"/>
          </w:tcPr>
          <w:p>
            <w:pPr>
              <w:spacing w:after="0" w:line="259" w:lineRule="auto"/>
            </w:pPr>
            <w:r>
              <w:rPr>
                <w:color w:val="1F2937"/>
                <w:sz w:val="17"/>
              </w:rPr>
              <w:t>Known-contact nurture, compliance and suppression</w:t>
            </w:r>
          </w:p>
        </w:tc>
        <w:tc>
          <w:tcPr>
            <w:tcW w:type="dxa" w:w="3340"/>
          </w:tcPr>
          <w:p>
            <w:pPr>
              <w:spacing w:after="0" w:line="259" w:lineRule="auto"/>
            </w:pPr>
            <w:r>
              <w:rPr>
                <w:color w:val="1F2937"/>
                <w:sz w:val="17"/>
              </w:rPr>
              <w:t>Program status, sends, clicks, opt-outs, membership and board traffic</w:t>
            </w:r>
          </w:p>
        </w:tc>
      </w:tr>
      <w:tr>
        <w:tc>
          <w:tcPr>
            <w:tcW w:type="dxa" w:w="2600"/>
          </w:tcPr>
          <w:p>
            <w:pPr>
              <w:spacing w:after="0" w:line="259" w:lineRule="auto"/>
            </w:pPr>
            <w:r>
              <w:rPr>
                <w:color w:val="1F2937"/>
                <w:sz w:val="17"/>
              </w:rPr>
              <w:t>[PAID_MEDIA_PLATFORMS]</w:t>
            </w:r>
          </w:p>
        </w:tc>
        <w:tc>
          <w:tcPr>
            <w:tcW w:type="dxa" w:w="3420"/>
          </w:tcPr>
          <w:p>
            <w:pPr>
              <w:spacing w:after="0" w:line="259" w:lineRule="auto"/>
            </w:pPr>
            <w:r>
              <w:rPr>
                <w:color w:val="1F2937"/>
                <w:sz w:val="17"/>
              </w:rPr>
              <w:t>Account/persona reach, thought leadership and retargeting</w:t>
            </w:r>
          </w:p>
        </w:tc>
        <w:tc>
          <w:tcPr>
            <w:tcW w:type="dxa" w:w="3340"/>
          </w:tcPr>
          <w:p>
            <w:pPr>
              <w:spacing w:after="0" w:line="259" w:lineRule="auto"/>
            </w:pPr>
            <w:r>
              <w:rPr>
                <w:color w:val="1F2937"/>
                <w:sz w:val="17"/>
              </w:rPr>
              <w:t>Reach, frequency, engagement, conversions and audience pools</w:t>
            </w:r>
          </w:p>
        </w:tc>
      </w:tr>
      <w:tr>
        <w:tc>
          <w:tcPr>
            <w:tcW w:type="dxa" w:w="2600"/>
          </w:tcPr>
          <w:p>
            <w:pPr>
              <w:spacing w:after="0" w:line="259" w:lineRule="auto"/>
            </w:pPr>
            <w:r>
              <w:rPr>
                <w:color w:val="1F2937"/>
                <w:sz w:val="17"/>
              </w:rPr>
              <w:t>[SALES_ENGAGEMENT_PLATFORM]</w:t>
            </w:r>
          </w:p>
        </w:tc>
        <w:tc>
          <w:tcPr>
            <w:tcW w:type="dxa" w:w="3420"/>
          </w:tcPr>
          <w:p>
            <w:pPr>
              <w:spacing w:after="0" w:line="259" w:lineRule="auto"/>
            </w:pPr>
            <w:r>
              <w:rPr>
                <w:color w:val="1F2937"/>
                <w:sz w:val="17"/>
              </w:rPr>
              <w:t>BDR/AE tasking and human follow-up</w:t>
            </w:r>
          </w:p>
        </w:tc>
        <w:tc>
          <w:tcPr>
            <w:tcW w:type="dxa" w:w="3340"/>
          </w:tcPr>
          <w:p>
            <w:pPr>
              <w:spacing w:after="0" w:line="259" w:lineRule="auto"/>
            </w:pPr>
            <w:r>
              <w:rPr>
                <w:color w:val="1F2937"/>
                <w:sz w:val="17"/>
              </w:rPr>
              <w:t>Touches, replies, meetings, timing, conversion and disposition</w:t>
            </w:r>
          </w:p>
        </w:tc>
      </w:tr>
      <w:tr>
        <w:tc>
          <w:tcPr>
            <w:tcW w:type="dxa" w:w="2600"/>
          </w:tcPr>
          <w:p>
            <w:pPr>
              <w:spacing w:after="0" w:line="259" w:lineRule="auto"/>
            </w:pPr>
            <w:r>
              <w:rPr>
                <w:color w:val="1F2937"/>
                <w:sz w:val="17"/>
              </w:rPr>
              <w:t>[EVENT_PLATFORM]</w:t>
            </w:r>
          </w:p>
        </w:tc>
        <w:tc>
          <w:tcPr>
            <w:tcW w:type="dxa" w:w="3420"/>
          </w:tcPr>
          <w:p>
            <w:pPr>
              <w:spacing w:after="0" w:line="259" w:lineRule="auto"/>
            </w:pPr>
            <w:r>
              <w:rPr>
                <w:color w:val="1F2937"/>
                <w:sz w:val="17"/>
              </w:rPr>
              <w:t>Peer interaction and technical/executive validation</w:t>
            </w:r>
          </w:p>
        </w:tc>
        <w:tc>
          <w:tcPr>
            <w:tcW w:type="dxa" w:w="3340"/>
          </w:tcPr>
          <w:p>
            <w:pPr>
              <w:spacing w:after="0" w:line="259" w:lineRule="auto"/>
            </w:pPr>
            <w:r>
              <w:rPr>
                <w:color w:val="1F2937"/>
                <w:sz w:val="17"/>
              </w:rPr>
              <w:t>Target-account attendance, personas, engagement, meetings and follow-up</w:t>
            </w:r>
          </w:p>
        </w:tc>
      </w:tr>
    </w:tbl>
    <w:p>
      <w:pPr>
        <w:spacing w:after="20"/>
      </w:pPr>
    </w:p>
    <w:p>
      <w:pPr>
        <w:pStyle w:val="Heading2"/>
      </w:pPr>
      <w:r>
        <w:t>Minimum signal payload for sellers</w:t>
      </w:r>
    </w:p>
    <w:p>
      <w:pPr>
        <w:pStyle w:val="ListBullet"/>
        <w:spacing w:after="80"/>
      </w:pPr>
      <w:r>
        <w:t>Account, owner, segment, region, acquisition type, and current stage.</w:t>
      </w:r>
    </w:p>
    <w:p>
      <w:pPr>
        <w:pStyle w:val="ListBullet"/>
        <w:spacing w:after="80"/>
      </w:pPr>
      <w:r>
        <w:t>Intent topic and trend, with source and date.</w:t>
      </w:r>
    </w:p>
    <w:p>
      <w:pPr>
        <w:pStyle w:val="ListBullet"/>
        <w:spacing w:after="80"/>
      </w:pPr>
      <w:r>
        <w:t>Engaged personas, relationship history, last content consumed, and Folloze engagement stage.</w:t>
      </w:r>
    </w:p>
    <w:p>
      <w:pPr>
        <w:pStyle w:val="ListBullet"/>
        <w:spacing w:after="80"/>
      </w:pPr>
      <w:r>
        <w:t>Recommended experience, proof item, CTA, and reason for action.</w:t>
      </w:r>
    </w:p>
    <w:p>
      <w:pPr>
        <w:pStyle w:val="ListBullet"/>
        <w:spacing w:after="80"/>
      </w:pPr>
      <w:r>
        <w:t>Known capacity, geography, timing, or delivery constraints.</w:t>
      </w:r>
    </w:p>
    <w:p>
      <w:pPr>
        <w:pStyle w:val="ListBullet"/>
        <w:spacing w:after="80"/>
      </w:pPr>
      <w:r>
        <w:t>Facts separated from hypotheses; clear disqualification and downgrade options.</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Signal safety: </w:t>
      </w:r>
      <w:r>
        <w:rPr>
          <w:color w:val="1F2937"/>
        </w:rPr>
        <w:t>Never trigger senior-level outreach from anonymous intent alone. Require fit plus relevant topic and enough relationship or first-party context to explain why the outreach is useful now.</w:t>
      </w:r>
    </w:p>
    <w:p>
      <w:r>
        <w:br w:type="page"/>
      </w:r>
    </w:p>
    <w:p>
      <w:pPr>
        <w:pStyle w:val="Heading1"/>
      </w:pPr>
      <w:r>
        <w:t>8. Design dynamic treatments and response workflows</w:t>
      </w:r>
    </w:p>
    <w:p>
      <w:r>
        <w:t>Avoid a large permanent Tier 1 list. Start broadly and let verified buying behavior, committee depth, feasibility, and sales validation earn higher-cost treatment.</w:t>
      </w:r>
    </w:p>
    <w:tbl>
      <w:tblPr>
        <w:tblStyle w:val="TableGrid"/>
        <w:tblW w:type="dxa" w:w="9360"/>
        <w:jc w:val="left"/>
        <w:tblLayout w:type="fixed"/>
        <w:tblLook w:firstColumn="1" w:firstRow="1" w:lastColumn="0" w:lastRow="0" w:noHBand="0" w:noVBand="1" w:val="04A0"/>
        <w:tblInd w:w="120" w:type="dxa"/>
      </w:tblPr>
      <w:tblGrid>
        <w:gridCol w:w="1800"/>
        <w:gridCol w:w="1700"/>
        <w:gridCol w:w="3300"/>
        <w:gridCol w:w="2560"/>
      </w:tblGrid>
      <w:tr>
        <w:trPr>
          <w:tblHeader w:val="true"/>
        </w:trPr>
        <w:tc>
          <w:tcPr>
            <w:tcW w:type="dxa" w:w="1800"/>
            <w:vAlign w:val="center"/>
            <w:tcMar>
              <w:top w:w="90" w:type="dxa"/>
              <w:start w:w="120" w:type="dxa"/>
              <w:bottom w:w="90" w:type="dxa"/>
              <w:end w:w="120" w:type="dxa"/>
            </w:tcMar>
            <w:shd w:fill="E8EEF5"/>
          </w:tcPr>
          <w:p>
            <w:pPr>
              <w:spacing w:after="0"/>
            </w:pPr>
            <w:r>
              <w:rPr>
                <w:b/>
                <w:color w:val="17365D"/>
                <w:sz w:val="17"/>
              </w:rPr>
              <w:t>Treatment</w:t>
            </w:r>
          </w:p>
        </w:tc>
        <w:tc>
          <w:tcPr>
            <w:tcW w:type="dxa" w:w="1700"/>
            <w:vAlign w:val="center"/>
            <w:tcMar>
              <w:top w:w="90" w:type="dxa"/>
              <w:start w:w="120" w:type="dxa"/>
              <w:bottom w:w="90" w:type="dxa"/>
              <w:end w:w="120" w:type="dxa"/>
            </w:tcMar>
            <w:shd w:fill="E8EEF5"/>
          </w:tcPr>
          <w:p>
            <w:pPr>
              <w:spacing w:after="0"/>
            </w:pPr>
            <w:r>
              <w:rPr>
                <w:b/>
                <w:color w:val="17365D"/>
                <w:sz w:val="17"/>
              </w:rPr>
              <w:t>Volume</w:t>
            </w:r>
          </w:p>
        </w:tc>
        <w:tc>
          <w:tcPr>
            <w:tcW w:type="dxa" w:w="3300"/>
            <w:vAlign w:val="center"/>
            <w:tcMar>
              <w:top w:w="90" w:type="dxa"/>
              <w:start w:w="120" w:type="dxa"/>
              <w:bottom w:w="90" w:type="dxa"/>
              <w:end w:w="120" w:type="dxa"/>
            </w:tcMar>
            <w:shd w:fill="E8EEF5"/>
          </w:tcPr>
          <w:p>
            <w:pPr>
              <w:spacing w:after="0"/>
            </w:pPr>
            <w:r>
              <w:rPr>
                <w:b/>
                <w:color w:val="17365D"/>
                <w:sz w:val="17"/>
              </w:rPr>
              <w:t>Entry/exit logic</w:t>
            </w:r>
          </w:p>
        </w:tc>
        <w:tc>
          <w:tcPr>
            <w:tcW w:type="dxa" w:w="2560"/>
            <w:vAlign w:val="center"/>
            <w:tcMar>
              <w:top w:w="90" w:type="dxa"/>
              <w:start w:w="120" w:type="dxa"/>
              <w:bottom w:w="90" w:type="dxa"/>
              <w:end w:w="120" w:type="dxa"/>
            </w:tcMar>
            <w:shd w:fill="E8EEF5"/>
          </w:tcPr>
          <w:p>
            <w:pPr>
              <w:spacing w:after="0"/>
            </w:pPr>
            <w:r>
              <w:rPr>
                <w:b/>
                <w:color w:val="17365D"/>
                <w:sz w:val="17"/>
              </w:rPr>
              <w:t>Entitlement</w:t>
            </w:r>
          </w:p>
        </w:tc>
      </w:tr>
      <w:tr>
        <w:tc>
          <w:tcPr>
            <w:tcW w:type="dxa" w:w="1800"/>
          </w:tcPr>
          <w:p>
            <w:pPr>
              <w:spacing w:after="0" w:line="259" w:lineRule="auto"/>
            </w:pPr>
            <w:r>
              <w:rPr>
                <w:color w:val="1F2937"/>
                <w:sz w:val="17"/>
              </w:rPr>
              <w:t>1:many foundation</w:t>
            </w:r>
          </w:p>
        </w:tc>
        <w:tc>
          <w:tcPr>
            <w:tcW w:type="dxa" w:w="1700"/>
          </w:tcPr>
          <w:p>
            <w:pPr>
              <w:spacing w:after="0" w:line="259" w:lineRule="auto"/>
            </w:pPr>
            <w:r>
              <w:rPr>
                <w:color w:val="1F2937"/>
                <w:sz w:val="17"/>
              </w:rPr>
              <w:t>All named accounts</w:t>
            </w:r>
          </w:p>
        </w:tc>
        <w:tc>
          <w:tcPr>
            <w:tcW w:type="dxa" w:w="3300"/>
          </w:tcPr>
          <w:p>
            <w:pPr>
              <w:spacing w:after="0" w:line="259" w:lineRule="auto"/>
            </w:pPr>
            <w:r>
              <w:rPr>
                <w:color w:val="1F2937"/>
                <w:sz w:val="17"/>
              </w:rPr>
              <w:t>Fit, owner, acquisition type and suppressions complete</w:t>
            </w:r>
          </w:p>
        </w:tc>
        <w:tc>
          <w:tcPr>
            <w:tcW w:type="dxa" w:w="2560"/>
          </w:tcPr>
          <w:p>
            <w:pPr>
              <w:spacing w:after="0" w:line="259" w:lineRule="auto"/>
            </w:pPr>
            <w:r>
              <w:rPr>
                <w:color w:val="1F2937"/>
                <w:sz w:val="17"/>
              </w:rPr>
              <w:t>Paid/owned education, master Folloze experience, light persona routing</w:t>
            </w:r>
          </w:p>
        </w:tc>
      </w:tr>
      <w:tr>
        <w:tc>
          <w:tcPr>
            <w:tcW w:type="dxa" w:w="1800"/>
          </w:tcPr>
          <w:p>
            <w:pPr>
              <w:spacing w:after="0" w:line="259" w:lineRule="auto"/>
            </w:pPr>
            <w:r>
              <w:rPr>
                <w:color w:val="1F2937"/>
                <w:sz w:val="17"/>
              </w:rPr>
              <w:t>1:many → 1:few</w:t>
            </w:r>
          </w:p>
        </w:tc>
        <w:tc>
          <w:tcPr>
            <w:tcW w:type="dxa" w:w="1700"/>
          </w:tcPr>
          <w:p>
            <w:pPr>
              <w:spacing w:after="0" w:line="259" w:lineRule="auto"/>
            </w:pPr>
            <w:r>
              <w:rPr>
                <w:color w:val="1F2937"/>
                <w:sz w:val="17"/>
              </w:rPr>
              <w:t>Rotating cohorts</w:t>
            </w:r>
          </w:p>
        </w:tc>
        <w:tc>
          <w:tcPr>
            <w:tcW w:type="dxa" w:w="3300"/>
          </w:tcPr>
          <w:p>
            <w:pPr>
              <w:spacing w:after="0" w:line="259" w:lineRule="auto"/>
            </w:pPr>
            <w:r>
              <w:rPr>
                <w:color w:val="1F2937"/>
                <w:sz w:val="17"/>
              </w:rPr>
              <w:t>Meet [COHORT_THRESHOLD_COUNT] approved conditions across stage, intent, engagement, fit and opportunity status</w:t>
            </w:r>
          </w:p>
        </w:tc>
        <w:tc>
          <w:tcPr>
            <w:tcW w:type="dxa" w:w="2560"/>
          </w:tcPr>
          <w:p>
            <w:pPr>
              <w:spacing w:after="0" w:line="259" w:lineRule="auto"/>
            </w:pPr>
            <w:r>
              <w:rPr>
                <w:color w:val="1F2937"/>
                <w:sz w:val="17"/>
              </w:rPr>
              <w:t>Cohort board, persona ads, nurture, event and contextual BDR sequence</w:t>
            </w:r>
          </w:p>
        </w:tc>
      </w:tr>
      <w:tr>
        <w:tc>
          <w:tcPr>
            <w:tcW w:type="dxa" w:w="1800"/>
          </w:tcPr>
          <w:p>
            <w:pPr>
              <w:spacing w:after="0" w:line="259" w:lineRule="auto"/>
            </w:pPr>
            <w:r>
              <w:rPr>
                <w:color w:val="1F2937"/>
                <w:sz w:val="17"/>
              </w:rPr>
              <w:t>1:few → 1:1 surge</w:t>
            </w:r>
          </w:p>
        </w:tc>
        <w:tc>
          <w:tcPr>
            <w:tcW w:type="dxa" w:w="1700"/>
          </w:tcPr>
          <w:p>
            <w:pPr>
              <w:spacing w:after="0" w:line="259" w:lineRule="auto"/>
            </w:pPr>
            <w:r>
              <w:rPr>
                <w:color w:val="1F2937"/>
                <w:sz w:val="17"/>
              </w:rPr>
              <w:t>[ACTIVE_SURGE_ROOM_LIMIT] active accounts</w:t>
            </w:r>
          </w:p>
        </w:tc>
        <w:tc>
          <w:tcPr>
            <w:tcW w:type="dxa" w:w="3300"/>
          </w:tcPr>
          <w:p>
            <w:pPr>
              <w:spacing w:after="0" w:line="259" w:lineRule="auto"/>
            </w:pPr>
            <w:r>
              <w:rPr>
                <w:color w:val="1F2937"/>
                <w:sz w:val="17"/>
              </w:rPr>
              <w:t>Meet [SURGE_THRESHOLD_COUNT] approved conditions plus AE-validated hypothesis and feasibility check</w:t>
            </w:r>
          </w:p>
        </w:tc>
        <w:tc>
          <w:tcPr>
            <w:tcW w:type="dxa" w:w="2560"/>
          </w:tcPr>
          <w:p>
            <w:pPr>
              <w:spacing w:after="0" w:line="259" w:lineRule="auto"/>
            </w:pPr>
            <w:r>
              <w:rPr>
                <w:color w:val="1F2937"/>
                <w:sz w:val="17"/>
              </w:rPr>
              <w:t>Account board, matched proof, executive/technical offer and 24-hour response</w:t>
            </w:r>
          </w:p>
        </w:tc>
      </w:tr>
      <w:tr>
        <w:tc>
          <w:tcPr>
            <w:tcW w:type="dxa" w:w="1800"/>
          </w:tcPr>
          <w:p>
            <w:pPr>
              <w:spacing w:after="0" w:line="259" w:lineRule="auto"/>
            </w:pPr>
            <w:r>
              <w:rPr>
                <w:color w:val="1F2937"/>
                <w:sz w:val="17"/>
              </w:rPr>
              <w:t>1:1 → opportunity</w:t>
            </w:r>
          </w:p>
        </w:tc>
        <w:tc>
          <w:tcPr>
            <w:tcW w:type="dxa" w:w="1700"/>
          </w:tcPr>
          <w:p>
            <w:pPr>
              <w:spacing w:after="0" w:line="259" w:lineRule="auto"/>
            </w:pPr>
            <w:r>
              <w:rPr>
                <w:color w:val="1F2937"/>
                <w:sz w:val="17"/>
              </w:rPr>
              <w:t>Qualified accounts</w:t>
            </w:r>
          </w:p>
        </w:tc>
        <w:tc>
          <w:tcPr>
            <w:tcW w:type="dxa" w:w="3300"/>
          </w:tcPr>
          <w:p>
            <w:pPr>
              <w:spacing w:after="0" w:line="259" w:lineRule="auto"/>
            </w:pPr>
            <w:r>
              <w:rPr>
                <w:color w:val="1F2937"/>
                <w:sz w:val="17"/>
              </w:rPr>
              <w:t>Validated problem, committee, sponsor, project/timing, next step and sales acceptance</w:t>
            </w:r>
          </w:p>
        </w:tc>
        <w:tc>
          <w:tcPr>
            <w:tcW w:type="dxa" w:w="2560"/>
          </w:tcPr>
          <w:p>
            <w:pPr>
              <w:spacing w:after="0" w:line="259" w:lineRule="auto"/>
            </w:pPr>
            <w:r>
              <w:rPr>
                <w:color w:val="1F2937"/>
                <w:sz w:val="17"/>
              </w:rPr>
              <w:t>Digital sales room, mutual action plan and opportunity record</w:t>
            </w:r>
          </w:p>
        </w:tc>
      </w:tr>
      <w:tr>
        <w:tc>
          <w:tcPr>
            <w:tcW w:type="dxa" w:w="1800"/>
          </w:tcPr>
          <w:p>
            <w:pPr>
              <w:spacing w:after="0" w:line="259" w:lineRule="auto"/>
            </w:pPr>
            <w:r>
              <w:rPr>
                <w:color w:val="1F2937"/>
                <w:sz w:val="17"/>
              </w:rPr>
              <w:t>Downgrade/recycle</w:t>
            </w:r>
          </w:p>
        </w:tc>
        <w:tc>
          <w:tcPr>
            <w:tcW w:type="dxa" w:w="1700"/>
          </w:tcPr>
          <w:p>
            <w:pPr>
              <w:spacing w:after="0" w:line="259" w:lineRule="auto"/>
            </w:pPr>
            <w:r>
              <w:rPr>
                <w:color w:val="1F2937"/>
                <w:sz w:val="17"/>
              </w:rPr>
              <w:t>Any treatment</w:t>
            </w:r>
          </w:p>
        </w:tc>
        <w:tc>
          <w:tcPr>
            <w:tcW w:type="dxa" w:w="3300"/>
          </w:tcPr>
          <w:p>
            <w:pPr>
              <w:spacing w:after="0" w:line="259" w:lineRule="auto"/>
            </w:pPr>
            <w:r>
              <w:rPr>
                <w:color w:val="1F2937"/>
                <w:sz w:val="17"/>
              </w:rPr>
              <w:t>No meaningful engagement for [DECAY_WINDOW] and no sales-validated path</w:t>
            </w:r>
          </w:p>
        </w:tc>
        <w:tc>
          <w:tcPr>
            <w:tcW w:type="dxa" w:w="2560"/>
          </w:tcPr>
          <w:p>
            <w:pPr>
              <w:spacing w:after="0" w:line="259" w:lineRule="auto"/>
            </w:pPr>
            <w:r>
              <w:rPr>
                <w:color w:val="1F2937"/>
                <w:sz w:val="17"/>
              </w:rPr>
              <w:t>Lower paid frequency, re-entry nurture and new trigger test</w:t>
            </w:r>
          </w:p>
        </w:tc>
      </w:tr>
    </w:tbl>
    <w:p>
      <w:pPr>
        <w:spacing w:after="20"/>
      </w:pPr>
    </w:p>
    <w:p>
      <w:pPr>
        <w:pStyle w:val="Heading2"/>
      </w:pPr>
      <w:r>
        <w:t>Twenty-four-hour surge workflow</w:t>
      </w:r>
    </w:p>
    <w:p>
      <w:pPr>
        <w:pStyle w:val="ListNumber"/>
        <w:spacing w:after="100"/>
      </w:pPr>
      <w:r>
        <w:t>The account meets the approved combined intelligence + Folloze criteria.</w:t>
      </w:r>
    </w:p>
    <w:p>
      <w:pPr>
        <w:pStyle w:val="ListNumber"/>
        <w:spacing w:after="100"/>
      </w:pPr>
      <w:r>
        <w:t>The program sends the full seller payload to the owner and BDR/AE team.</w:t>
      </w:r>
    </w:p>
    <w:p>
      <w:pPr>
        <w:pStyle w:val="ListNumber"/>
        <w:spacing w:after="100"/>
      </w:pPr>
      <w:r>
        <w:t>The AE validates or rejects the account hypothesis and records the reason.</w:t>
      </w:r>
    </w:p>
    <w:p>
      <w:pPr>
        <w:pStyle w:val="ListNumber"/>
        <w:spacing w:after="100"/>
      </w:pPr>
      <w:r>
        <w:t>If validated, the owner sends a contextual board or workshop path within 24 hours.</w:t>
      </w:r>
    </w:p>
    <w:p>
      <w:pPr>
        <w:pStyle w:val="ListNumber"/>
        <w:spacing w:after="100"/>
      </w:pPr>
      <w:r>
        <w:t>Marketing upgrades the account experience, suppresses conflicting nurture, and starts committee expansion.</w:t>
      </w:r>
    </w:p>
    <w:p>
      <w:pPr>
        <w:pStyle w:val="ListNumber"/>
        <w:spacing w:after="100"/>
      </w:pPr>
      <w:r>
        <w:t>If no path exists, downgrade after the documented decay window and preserve the account experience.</w:t>
      </w:r>
    </w:p>
    <w:p>
      <w:pPr>
        <w:pStyle w:val="Heading2"/>
      </w:pPr>
      <w:r>
        <w:t>Acquisition paths</w:t>
      </w:r>
    </w:p>
    <w:p>
      <w:pPr>
        <w:spacing w:after="80"/>
      </w:pPr>
      <w:r>
        <w:rPr>
          <w:b/>
          <w:color w:val="17365D"/>
        </w:rPr>
        <w:t xml:space="preserve">Net-new: </w:t>
      </w:r>
      <w:r>
        <w:t>Build relationship and committee coverage from problem education through proof and architecture validation. Suppress accounts with active opportunities or protected strategic ownership.</w:t>
      </w:r>
    </w:p>
    <w:p>
      <w:pPr>
        <w:spacing w:after="80"/>
      </w:pPr>
      <w:r>
        <w:rPr>
          <w:b/>
          <w:color w:val="17365D"/>
        </w:rPr>
        <w:t xml:space="preserve">Expansion: </w:t>
      </w:r>
      <w:r>
        <w:t>Start from verified relationship context. Use champion-forwardable experiences and whitespace hypotheses across business units, regions, workloads, or stakeholder groups. Coordinate with the account team before outreach.</w:t>
      </w:r>
    </w:p>
    <w:p>
      <w:r>
        <w:br w:type="page"/>
      </w:r>
    </w:p>
    <w:p>
      <w:pPr>
        <w:pStyle w:val="Heading1"/>
      </w:pPr>
      <w:r>
        <w:t>9. Build the campaign portfolio and 12-month calendar</w:t>
      </w:r>
    </w:p>
    <w:p>
      <w:r>
        <w:t>Organize campaigns around the customer's approved sales plays or buyer problems. A calendar should balance always-on foundation, focused cohort bursts, proof, events, account surge, opportunity acceleration, and recycle.</w:t>
      </w:r>
    </w:p>
    <w:p>
      <w:pPr>
        <w:pStyle w:val="Heading2"/>
      </w:pPr>
      <w:r>
        <w:t>Required campaign record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90" w:type="dxa"/>
              <w:start w:w="120" w:type="dxa"/>
              <w:bottom w:w="90" w:type="dxa"/>
              <w:end w:w="120" w:type="dxa"/>
            </w:tcMar>
            <w:shd w:fill="E8EEF5"/>
          </w:tcPr>
          <w:p>
            <w:pPr>
              <w:spacing w:after="0"/>
            </w:pPr>
            <w:r>
              <w:rPr>
                <w:b/>
                <w:color w:val="17365D"/>
                <w:sz w:val="18"/>
              </w:rPr>
              <w:t>Field</w:t>
            </w:r>
          </w:p>
        </w:tc>
        <w:tc>
          <w:tcPr>
            <w:tcW w:type="dxa" w:w="7160"/>
            <w:vAlign w:val="center"/>
            <w:tcMar>
              <w:top w:w="90" w:type="dxa"/>
              <w:start w:w="120" w:type="dxa"/>
              <w:bottom w:w="90" w:type="dxa"/>
              <w:end w:w="120" w:type="dxa"/>
            </w:tcMar>
            <w:shd w:fill="E8EEF5"/>
          </w:tcPr>
          <w:p>
            <w:pPr>
              <w:spacing w:after="0"/>
            </w:pPr>
            <w:r>
              <w:rPr>
                <w:b/>
                <w:color w:val="17365D"/>
                <w:sz w:val="18"/>
              </w:rPr>
              <w:t>Required detail</w:t>
            </w:r>
          </w:p>
        </w:tc>
      </w:tr>
      <w:tr>
        <w:tc>
          <w:tcPr>
            <w:tcW w:type="dxa" w:w="2200"/>
          </w:tcPr>
          <w:p>
            <w:pPr>
              <w:spacing w:after="0" w:line="259" w:lineRule="auto"/>
            </w:pPr>
            <w:r>
              <w:rPr>
                <w:color w:val="1F2937"/>
                <w:sz w:val="18"/>
              </w:rPr>
              <w:t>Campaign</w:t>
            </w:r>
          </w:p>
        </w:tc>
        <w:tc>
          <w:tcPr>
            <w:tcW w:type="dxa" w:w="7160"/>
          </w:tcPr>
          <w:p>
            <w:pPr>
              <w:spacing w:after="0" w:line="259" w:lineRule="auto"/>
            </w:pPr>
            <w:r>
              <w:rPr>
                <w:color w:val="1F2937"/>
                <w:sz w:val="18"/>
              </w:rPr>
              <w:t>[CAMPAIGN_NAME] and [SALES_PLAY]</w:t>
            </w:r>
          </w:p>
        </w:tc>
      </w:tr>
      <w:tr>
        <w:tc>
          <w:tcPr>
            <w:tcW w:type="dxa" w:w="2200"/>
          </w:tcPr>
          <w:p>
            <w:pPr>
              <w:spacing w:after="0" w:line="259" w:lineRule="auto"/>
            </w:pPr>
            <w:r>
              <w:rPr>
                <w:color w:val="1F2937"/>
                <w:sz w:val="18"/>
              </w:rPr>
              <w:t>Audience</w:t>
            </w:r>
          </w:p>
        </w:tc>
        <w:tc>
          <w:tcPr>
            <w:tcW w:type="dxa" w:w="7160"/>
          </w:tcPr>
          <w:p>
            <w:pPr>
              <w:spacing w:after="0" w:line="259" w:lineRule="auto"/>
            </w:pPr>
            <w:r>
              <w:rPr>
                <w:color w:val="1F2937"/>
                <w:sz w:val="18"/>
              </w:rPr>
              <w:t>Segment, cohort, account treatment, persona, region and acquisition type</w:t>
            </w:r>
          </w:p>
        </w:tc>
      </w:tr>
      <w:tr>
        <w:tc>
          <w:tcPr>
            <w:tcW w:type="dxa" w:w="2200"/>
          </w:tcPr>
          <w:p>
            <w:pPr>
              <w:spacing w:after="0" w:line="259" w:lineRule="auto"/>
            </w:pPr>
            <w:r>
              <w:rPr>
                <w:color w:val="1F2937"/>
                <w:sz w:val="18"/>
              </w:rPr>
              <w:t>Buyer question</w:t>
            </w:r>
          </w:p>
        </w:tc>
        <w:tc>
          <w:tcPr>
            <w:tcW w:type="dxa" w:w="7160"/>
          </w:tcPr>
          <w:p>
            <w:pPr>
              <w:spacing w:after="0" w:line="259" w:lineRule="auto"/>
            </w:pPr>
            <w:r>
              <w:rPr>
                <w:color w:val="1F2937"/>
                <w:sz w:val="18"/>
              </w:rPr>
              <w:t>The decision or problem the campaign helps resolve</w:t>
            </w:r>
          </w:p>
        </w:tc>
      </w:tr>
      <w:tr>
        <w:tc>
          <w:tcPr>
            <w:tcW w:type="dxa" w:w="2200"/>
          </w:tcPr>
          <w:p>
            <w:pPr>
              <w:spacing w:after="0" w:line="259" w:lineRule="auto"/>
            </w:pPr>
            <w:r>
              <w:rPr>
                <w:color w:val="1F2937"/>
                <w:sz w:val="18"/>
              </w:rPr>
              <w:t>Content</w:t>
            </w:r>
          </w:p>
        </w:tc>
        <w:tc>
          <w:tcPr>
            <w:tcW w:type="dxa" w:w="7160"/>
          </w:tcPr>
          <w:p>
            <w:pPr>
              <w:spacing w:after="0" w:line="259" w:lineRule="auto"/>
            </w:pPr>
            <w:r>
              <w:rPr>
                <w:color w:val="1F2937"/>
                <w:sz w:val="18"/>
              </w:rPr>
              <w:t>Approved customer content and proof by stage</w:t>
            </w:r>
          </w:p>
        </w:tc>
      </w:tr>
      <w:tr>
        <w:tc>
          <w:tcPr>
            <w:tcW w:type="dxa" w:w="2200"/>
          </w:tcPr>
          <w:p>
            <w:pPr>
              <w:spacing w:after="0" w:line="259" w:lineRule="auto"/>
            </w:pPr>
            <w:r>
              <w:rPr>
                <w:color w:val="1F2937"/>
                <w:sz w:val="18"/>
              </w:rPr>
              <w:t>Channels</w:t>
            </w:r>
          </w:p>
        </w:tc>
        <w:tc>
          <w:tcPr>
            <w:tcW w:type="dxa" w:w="7160"/>
          </w:tcPr>
          <w:p>
            <w:pPr>
              <w:spacing w:after="0" w:line="259" w:lineRule="auto"/>
            </w:pPr>
            <w:r>
              <w:rPr>
                <w:color w:val="1F2937"/>
                <w:sz w:val="18"/>
              </w:rPr>
              <w:t>Account intelligence, paid social, MAP, BDR/AE, events, partners, communities, AEO/GEO</w:t>
            </w:r>
          </w:p>
        </w:tc>
      </w:tr>
      <w:tr>
        <w:tc>
          <w:tcPr>
            <w:tcW w:type="dxa" w:w="2200"/>
          </w:tcPr>
          <w:p>
            <w:pPr>
              <w:spacing w:after="0" w:line="259" w:lineRule="auto"/>
            </w:pPr>
            <w:r>
              <w:rPr>
                <w:color w:val="1F2937"/>
                <w:sz w:val="18"/>
              </w:rPr>
              <w:t>Experience</w:t>
            </w:r>
          </w:p>
        </w:tc>
        <w:tc>
          <w:tcPr>
            <w:tcW w:type="dxa" w:w="7160"/>
          </w:tcPr>
          <w:p>
            <w:pPr>
              <w:spacing w:after="0" w:line="259" w:lineRule="auto"/>
            </w:pPr>
            <w:r>
              <w:rPr>
                <w:color w:val="1F2937"/>
                <w:sz w:val="18"/>
              </w:rPr>
              <w:t>Folloze board/room, personalization rules and next-best content</w:t>
            </w:r>
          </w:p>
        </w:tc>
      </w:tr>
      <w:tr>
        <w:tc>
          <w:tcPr>
            <w:tcW w:type="dxa" w:w="2200"/>
          </w:tcPr>
          <w:p>
            <w:pPr>
              <w:spacing w:after="0" w:line="259" w:lineRule="auto"/>
            </w:pPr>
            <w:r>
              <w:rPr>
                <w:color w:val="1F2937"/>
                <w:sz w:val="18"/>
              </w:rPr>
              <w:t>Conversion</w:t>
            </w:r>
          </w:p>
        </w:tc>
        <w:tc>
          <w:tcPr>
            <w:tcW w:type="dxa" w:w="7160"/>
          </w:tcPr>
          <w:p>
            <w:pPr>
              <w:spacing w:after="0" w:line="259" w:lineRule="auto"/>
            </w:pPr>
            <w:r>
              <w:rPr>
                <w:color w:val="1F2937"/>
                <w:sz w:val="18"/>
              </w:rPr>
              <w:t>Stage-appropriate CTA and form/gating rule</w:t>
            </w:r>
          </w:p>
        </w:tc>
      </w:tr>
      <w:tr>
        <w:tc>
          <w:tcPr>
            <w:tcW w:type="dxa" w:w="2200"/>
          </w:tcPr>
          <w:p>
            <w:pPr>
              <w:spacing w:after="0" w:line="259" w:lineRule="auto"/>
            </w:pPr>
            <w:r>
              <w:rPr>
                <w:color w:val="1F2937"/>
                <w:sz w:val="18"/>
              </w:rPr>
              <w:t>Signals</w:t>
            </w:r>
          </w:p>
        </w:tc>
        <w:tc>
          <w:tcPr>
            <w:tcW w:type="dxa" w:w="7160"/>
          </w:tcPr>
          <w:p>
            <w:pPr>
              <w:spacing w:after="0" w:line="259" w:lineRule="auto"/>
            </w:pPr>
            <w:r>
              <w:rPr>
                <w:color w:val="1F2937"/>
                <w:sz w:val="18"/>
              </w:rPr>
              <w:t>Entry, upgrade, seller action, suppression, downgrade and re-entry</w:t>
            </w:r>
          </w:p>
        </w:tc>
      </w:tr>
      <w:tr>
        <w:tc>
          <w:tcPr>
            <w:tcW w:type="dxa" w:w="2200"/>
          </w:tcPr>
          <w:p>
            <w:pPr>
              <w:spacing w:after="0" w:line="259" w:lineRule="auto"/>
            </w:pPr>
            <w:r>
              <w:rPr>
                <w:color w:val="1F2937"/>
                <w:sz w:val="18"/>
              </w:rPr>
              <w:t>Economics</w:t>
            </w:r>
          </w:p>
        </w:tc>
        <w:tc>
          <w:tcPr>
            <w:tcW w:type="dxa" w:w="7160"/>
          </w:tcPr>
          <w:p>
            <w:pPr>
              <w:spacing w:after="0" w:line="259" w:lineRule="auto"/>
            </w:pPr>
            <w:r>
              <w:rPr>
                <w:color w:val="1F2937"/>
                <w:sz w:val="18"/>
              </w:rPr>
              <w:t>Monthly opportunity target and low/base/high gross value</w:t>
            </w:r>
          </w:p>
        </w:tc>
      </w:tr>
      <w:tr>
        <w:tc>
          <w:tcPr>
            <w:tcW w:type="dxa" w:w="2200"/>
          </w:tcPr>
          <w:p>
            <w:pPr>
              <w:spacing w:after="0" w:line="259" w:lineRule="auto"/>
            </w:pPr>
            <w:r>
              <w:rPr>
                <w:color w:val="1F2937"/>
                <w:sz w:val="18"/>
              </w:rPr>
              <w:t>Governance</w:t>
            </w:r>
          </w:p>
        </w:tc>
        <w:tc>
          <w:tcPr>
            <w:tcW w:type="dxa" w:w="7160"/>
          </w:tcPr>
          <w:p>
            <w:pPr>
              <w:spacing w:after="0" w:line="259" w:lineRule="auto"/>
            </w:pPr>
            <w:r>
              <w:rPr>
                <w:color w:val="1F2937"/>
                <w:sz w:val="18"/>
              </w:rPr>
              <w:t>Owner, approvals, source list, launch date and review cadence</w:t>
            </w:r>
          </w:p>
        </w:tc>
      </w:tr>
    </w:tbl>
    <w:p>
      <w:pPr>
        <w:spacing w:after="20"/>
      </w:pPr>
    </w:p>
    <w:p>
      <w:pPr>
        <w:pStyle w:val="Heading2"/>
      </w:pPr>
      <w:r>
        <w:t>Calendar design pattern</w:t>
      </w:r>
    </w:p>
    <w:tbl>
      <w:tblPr>
        <w:tblStyle w:val="TableGrid"/>
        <w:tblW w:type="dxa" w:w="9360"/>
        <w:jc w:val="left"/>
        <w:tblLayout w:type="fixed"/>
        <w:tblLook w:firstColumn="1" w:firstRow="1" w:lastColumn="0" w:lastRow="0" w:noHBand="0" w:noVBand="1" w:val="04A0"/>
        <w:tblInd w:w="120" w:type="dxa"/>
      </w:tblPr>
      <w:tblGrid>
        <w:gridCol w:w="1800"/>
        <w:gridCol w:w="2600"/>
        <w:gridCol w:w="4960"/>
      </w:tblGrid>
      <w:tr>
        <w:trPr>
          <w:tblHeader w:val="true"/>
        </w:trPr>
        <w:tc>
          <w:tcPr>
            <w:tcW w:type="dxa" w:w="1800"/>
            <w:vAlign w:val="center"/>
            <w:tcMar>
              <w:top w:w="90" w:type="dxa"/>
              <w:start w:w="120" w:type="dxa"/>
              <w:bottom w:w="90" w:type="dxa"/>
              <w:end w:w="120" w:type="dxa"/>
            </w:tcMar>
            <w:shd w:fill="E8EEF5"/>
          </w:tcPr>
          <w:p>
            <w:pPr>
              <w:spacing w:after="0"/>
            </w:pPr>
            <w:r>
              <w:rPr>
                <w:b/>
                <w:color w:val="17365D"/>
                <w:sz w:val="18"/>
              </w:rPr>
              <w:t>Period</w:t>
            </w:r>
          </w:p>
        </w:tc>
        <w:tc>
          <w:tcPr>
            <w:tcW w:type="dxa" w:w="2600"/>
            <w:vAlign w:val="center"/>
            <w:tcMar>
              <w:top w:w="90" w:type="dxa"/>
              <w:start w:w="120" w:type="dxa"/>
              <w:bottom w:w="90" w:type="dxa"/>
              <w:end w:w="120" w:type="dxa"/>
            </w:tcMar>
            <w:shd w:fill="E8EEF5"/>
          </w:tcPr>
          <w:p>
            <w:pPr>
              <w:spacing w:after="0"/>
            </w:pPr>
            <w:r>
              <w:rPr>
                <w:b/>
                <w:color w:val="17365D"/>
                <w:sz w:val="18"/>
              </w:rPr>
              <w:t>Program job</w:t>
            </w:r>
          </w:p>
        </w:tc>
        <w:tc>
          <w:tcPr>
            <w:tcW w:type="dxa" w:w="4960"/>
            <w:vAlign w:val="center"/>
            <w:tcMar>
              <w:top w:w="90" w:type="dxa"/>
              <w:start w:w="120" w:type="dxa"/>
              <w:bottom w:w="90" w:type="dxa"/>
              <w:end w:w="120" w:type="dxa"/>
            </w:tcMar>
            <w:shd w:fill="E8EEF5"/>
          </w:tcPr>
          <w:p>
            <w:pPr>
              <w:spacing w:after="0"/>
            </w:pPr>
            <w:r>
              <w:rPr>
                <w:b/>
                <w:color w:val="17365D"/>
                <w:sz w:val="18"/>
              </w:rPr>
              <w:t>Typical moves</w:t>
            </w:r>
          </w:p>
        </w:tc>
      </w:tr>
      <w:tr>
        <w:tc>
          <w:tcPr>
            <w:tcW w:type="dxa" w:w="1800"/>
          </w:tcPr>
          <w:p>
            <w:pPr>
              <w:spacing w:after="0" w:line="259" w:lineRule="auto"/>
            </w:pPr>
            <w:r>
              <w:rPr>
                <w:color w:val="1F2937"/>
                <w:sz w:val="18"/>
              </w:rPr>
              <w:t>Months 1–3</w:t>
            </w:r>
          </w:p>
        </w:tc>
        <w:tc>
          <w:tcPr>
            <w:tcW w:type="dxa" w:w="2600"/>
          </w:tcPr>
          <w:p>
            <w:pPr>
              <w:spacing w:after="0" w:line="259" w:lineRule="auto"/>
            </w:pPr>
            <w:r>
              <w:rPr>
                <w:color w:val="1F2937"/>
                <w:sz w:val="18"/>
              </w:rPr>
              <w:t>Foundation and learning</w:t>
            </w:r>
          </w:p>
        </w:tc>
        <w:tc>
          <w:tcPr>
            <w:tcW w:type="dxa" w:w="4960"/>
          </w:tcPr>
          <w:p>
            <w:pPr>
              <w:spacing w:after="0" w:line="259" w:lineRule="auto"/>
            </w:pPr>
            <w:r>
              <w:rPr>
                <w:color w:val="1F2937"/>
                <w:sz w:val="18"/>
              </w:rPr>
              <w:t>Audience/data setup, primary message, master board, early discovery, baseline measurement and first cohorts</w:t>
            </w:r>
          </w:p>
        </w:tc>
      </w:tr>
      <w:tr>
        <w:tc>
          <w:tcPr>
            <w:tcW w:type="dxa" w:w="1800"/>
          </w:tcPr>
          <w:p>
            <w:pPr>
              <w:spacing w:after="0" w:line="259" w:lineRule="auto"/>
            </w:pPr>
            <w:r>
              <w:rPr>
                <w:color w:val="1F2937"/>
                <w:sz w:val="18"/>
              </w:rPr>
              <w:t>Months 4–6</w:t>
            </w:r>
          </w:p>
        </w:tc>
        <w:tc>
          <w:tcPr>
            <w:tcW w:type="dxa" w:w="2600"/>
          </w:tcPr>
          <w:p>
            <w:pPr>
              <w:spacing w:after="0" w:line="259" w:lineRule="auto"/>
            </w:pPr>
            <w:r>
              <w:rPr>
                <w:color w:val="1F2937"/>
                <w:sz w:val="18"/>
              </w:rPr>
              <w:t>Cohort conversion</w:t>
            </w:r>
          </w:p>
        </w:tc>
        <w:tc>
          <w:tcPr>
            <w:tcW w:type="dxa" w:w="4960"/>
          </w:tcPr>
          <w:p>
            <w:pPr>
              <w:spacing w:after="0" w:line="259" w:lineRule="auto"/>
            </w:pPr>
            <w:r>
              <w:rPr>
                <w:color w:val="1F2937"/>
                <w:sz w:val="18"/>
              </w:rPr>
              <w:t>Persona/use-case campaigns, technical content, specialist nurture, first events and surge workflow</w:t>
            </w:r>
          </w:p>
        </w:tc>
      </w:tr>
      <w:tr>
        <w:tc>
          <w:tcPr>
            <w:tcW w:type="dxa" w:w="1800"/>
          </w:tcPr>
          <w:p>
            <w:pPr>
              <w:spacing w:after="0" w:line="259" w:lineRule="auto"/>
            </w:pPr>
            <w:r>
              <w:rPr>
                <w:color w:val="1F2937"/>
                <w:sz w:val="18"/>
              </w:rPr>
              <w:t>Months 7–9</w:t>
            </w:r>
          </w:p>
        </w:tc>
        <w:tc>
          <w:tcPr>
            <w:tcW w:type="dxa" w:w="2600"/>
          </w:tcPr>
          <w:p>
            <w:pPr>
              <w:spacing w:after="0" w:line="259" w:lineRule="auto"/>
            </w:pPr>
            <w:r>
              <w:rPr>
                <w:color w:val="1F2937"/>
                <w:sz w:val="18"/>
              </w:rPr>
              <w:t>Proof and validation</w:t>
            </w:r>
          </w:p>
        </w:tc>
        <w:tc>
          <w:tcPr>
            <w:tcW w:type="dxa" w:w="4960"/>
          </w:tcPr>
          <w:p>
            <w:pPr>
              <w:spacing w:after="0" w:line="259" w:lineRule="auto"/>
            </w:pPr>
            <w:r>
              <w:rPr>
                <w:color w:val="1F2937"/>
                <w:sz w:val="18"/>
              </w:rPr>
              <w:t>Customer proof, partner ecosystem, workshops, localization and account-specific experiences</w:t>
            </w:r>
          </w:p>
        </w:tc>
      </w:tr>
      <w:tr>
        <w:tc>
          <w:tcPr>
            <w:tcW w:type="dxa" w:w="1800"/>
          </w:tcPr>
          <w:p>
            <w:pPr>
              <w:spacing w:after="0" w:line="259" w:lineRule="auto"/>
            </w:pPr>
            <w:r>
              <w:rPr>
                <w:color w:val="1F2937"/>
                <w:sz w:val="18"/>
              </w:rPr>
              <w:t>Months 10–12</w:t>
            </w:r>
          </w:p>
        </w:tc>
        <w:tc>
          <w:tcPr>
            <w:tcW w:type="dxa" w:w="2600"/>
          </w:tcPr>
          <w:p>
            <w:pPr>
              <w:spacing w:after="0" w:line="259" w:lineRule="auto"/>
            </w:pPr>
            <w:r>
              <w:rPr>
                <w:color w:val="1F2937"/>
                <w:sz w:val="18"/>
              </w:rPr>
              <w:t>Business case and acceleration</w:t>
            </w:r>
          </w:p>
        </w:tc>
        <w:tc>
          <w:tcPr>
            <w:tcW w:type="dxa" w:w="4960"/>
          </w:tcPr>
          <w:p>
            <w:pPr>
              <w:spacing w:after="0" w:line="259" w:lineRule="auto"/>
            </w:pPr>
            <w:r>
              <w:rPr>
                <w:color w:val="1F2937"/>
                <w:sz w:val="18"/>
              </w:rPr>
              <w:t>Executive programs, value narratives, digital sales rooms, decision sprint and recycle</w:t>
            </w:r>
          </w:p>
        </w:tc>
      </w:tr>
    </w:tbl>
    <w:p>
      <w:pPr>
        <w:spacing w:after="20"/>
      </w:pPr>
    </w:p>
    <w:p>
      <w:pPr>
        <w:pStyle w:val="ListBullet"/>
        <w:spacing w:after="80"/>
      </w:pPr>
      <w:r>
        <w:t>Maintain a cumulative opportunity curve from Month 1 to [OPPORTUNITY_TARGET].</w:t>
      </w:r>
    </w:p>
    <w:p>
      <w:pPr>
        <w:pStyle w:val="ListBullet"/>
        <w:spacing w:after="80"/>
      </w:pPr>
      <w:r>
        <w:t>Show monthly low/base/high opportunity value next to the opportunity target.</w:t>
      </w:r>
    </w:p>
    <w:p>
      <w:pPr>
        <w:pStyle w:val="ListBullet"/>
        <w:spacing w:after="80"/>
      </w:pPr>
      <w:r>
        <w:t>Keep AEO/GEO and community discovery as supporting layers when relevant; do not let them replace the orchestrated account program.</w:t>
      </w:r>
    </w:p>
    <w:p>
      <w:pPr>
        <w:pStyle w:val="ListBullet"/>
        <w:spacing w:after="80"/>
      </w:pPr>
      <w:r>
        <w:t>Use Folloze as the governed destination for campaign traffic; use the customer's website only when it is the best approved content source.</w:t>
      </w:r>
    </w:p>
    <w:p>
      <w:r>
        <w:br w:type="page"/>
      </w:r>
    </w:p>
    <w:p>
      <w:pPr>
        <w:pStyle w:val="Heading1"/>
      </w:pPr>
      <w:r>
        <w:t>10. Create the prompt library</w:t>
      </w:r>
    </w:p>
    <w:p>
      <w:r>
        <w:t>Prompts should be reusable instructions with explicit inputs, constraints, outputs, and quality checks. They should never conceal missing customer facts or invite unsupported claims.</w:t>
      </w:r>
    </w:p>
    <w:p>
      <w:pPr>
        <w:pStyle w:val="Heading2"/>
      </w:pPr>
      <w:r>
        <w:t>Board prompt template</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Copy-ready prompt: </w:t>
      </w:r>
      <w:r>
        <w:rPr>
          <w:color w:val="1F2937"/>
        </w:rPr>
        <w:t>Create a Folloze [BUYER_STAGE] experience for [CUSTOMER_NAME] targeting [PERSONA] in [SEGMENT/REGION]. Buyer question: [BUYER_QUESTION]. Objective: [STAGE_ADVANCEMENT_GOAL]. Use only assets from [APPROVED_CONTENT_FOLDER] and proof from [CUSTOMER_STORIES_FOLDER]. Build: hero, diagnostic or guided path, persona-relevant content, approved proof, and one primary CTA. Personalize by [APPROVED_VARIABLES]. Output the module map, copy, asset placement, CTA labels, personalization rules, tracking requirements, and a claim/source checklist. Do not invent customer facts, outcomes, product capabilities, or statistics.</w:t>
      </w:r>
    </w:p>
    <w:p>
      <w:pPr>
        <w:pStyle w:val="Heading2"/>
      </w:pPr>
      <w:r>
        <w:t>Ad prompt template</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Copy-ready prompt: </w:t>
      </w:r>
      <w:r>
        <w:rPr>
          <w:color w:val="1F2937"/>
        </w:rPr>
        <w:t>Create [NUMBER] [AD_FORMAT] variants for [CUSTOMER_NAME], targeting [PERSONA] at [BUYER_STAGE]. Use one buyer problem per variant and send traffic to [FOLLOZE_URL]. Provide platform-compliant primary text, headline, description, CTA, creative concept, stage rationale, and personalization token. Use only approved claims from [SOURCE_LIST]. Include character counts and a QA table showing persona fit, stage fit, claim source, and CTA alignment.</w:t>
      </w:r>
    </w:p>
    <w:p>
      <w:pPr>
        <w:pStyle w:val="Heading2"/>
      </w:pPr>
      <w:r>
        <w:t>BDR sequence prompt template</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Copy-ready prompt: </w:t>
      </w:r>
      <w:r>
        <w:rPr>
          <w:color w:val="1F2937"/>
        </w:rPr>
        <w:t>Create a five-touch BDR sequence sent on behalf of [AE_NAME]. Inputs: [ACCOUNT], [PERSONA], [BUYING_STAGE], [INTENT_TOPIC], [FOLLOZE_STAGE], [LAST_CONTENT], [RELATIONSHIP_CONTEXT], [BOARD_URL], and [CTA]. Use a personalized opening, approved core message, and contextual close. Touches 1–2 educate; Touch 3 offers a focused review; Touch 4 uses approved proof; Touch 5 respectfully closes. Never say 'I saw you clicked.' Separate facts from hypotheses and include downgrade guidance.</w:t>
      </w:r>
    </w:p>
    <w:p>
      <w:pPr>
        <w:pStyle w:val="Heading2"/>
      </w:pPr>
      <w:r>
        <w:t>MAP nurture prompt template</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Copy-ready prompt: </w:t>
      </w:r>
      <w:r>
        <w:rPr>
          <w:color w:val="1F2937"/>
        </w:rPr>
        <w:t>Create a four-email [MAP] air-cover stream for [PERSONA_GROUP] in [SEGMENT]. Target/Awareness emails are educational and ungated; Consideration uses guides, architecture content, and events; Decision uses proof and a high-value offer. Suppress active opportunity contacts unless sales requests air cover. Output subject lines, body copy, timing, trigger, suppression, Folloze path, CTA, and localization notes.</w:t>
      </w:r>
    </w:p>
    <w:p>
      <w:pPr>
        <w:pStyle w:val="Heading2"/>
      </w:pPr>
      <w:r>
        <w:t>Optimization prompt template</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Copy-ready prompt: </w:t>
      </w:r>
      <w:r>
        <w:rPr>
          <w:color w:val="1F2937"/>
        </w:rPr>
        <w:t>Given [MONTHLY_PERFORMANCE_EXPORT], identify the strongest and weakest combinations by stage, persona, channel, content, board path, CTA, acquisition type, and opportunity outcome. Separate observations from hypotheses. Recommend five prioritized tests with owner, test window, expected impact, success threshold, and rollback condition. Treat small samples as directional.</w:t>
      </w:r>
    </w:p>
    <w:p>
      <w:r>
        <w:br w:type="page"/>
      </w:r>
    </w:p>
    <w:p>
      <w:pPr>
        <w:pStyle w:val="Heading1"/>
      </w:pPr>
      <w:r>
        <w:t>11. Provide executable sequence examples</w:t>
      </w:r>
    </w:p>
    <w:p>
      <w:r>
        <w:t>The final program should include both generation prompts and at least one approved example sequence. Replace the placeholders below using the customer's approved language and content.</w:t>
      </w:r>
    </w:p>
    <w:tbl>
      <w:tblPr>
        <w:tblStyle w:val="TableGrid"/>
        <w:tblW w:type="dxa" w:w="9360"/>
        <w:jc w:val="left"/>
        <w:tblLayout w:type="fixed"/>
        <w:tblLook w:firstColumn="1" w:firstRow="1" w:lastColumn="0" w:lastRow="0" w:noHBand="0" w:noVBand="1" w:val="04A0"/>
        <w:tblInd w:w="120" w:type="dxa"/>
      </w:tblPr>
      <w:tblGrid>
        <w:gridCol w:w="1200"/>
        <w:gridCol w:w="1000"/>
        <w:gridCol w:w="1500"/>
        <w:gridCol w:w="4200"/>
        <w:gridCol w:w="1460"/>
      </w:tblGrid>
      <w:tr>
        <w:trPr>
          <w:tblHeader w:val="true"/>
        </w:trPr>
        <w:tc>
          <w:tcPr>
            <w:tcW w:type="dxa" w:w="1200"/>
            <w:vAlign w:val="center"/>
            <w:tcMar>
              <w:top w:w="90" w:type="dxa"/>
              <w:start w:w="120" w:type="dxa"/>
              <w:bottom w:w="90" w:type="dxa"/>
              <w:end w:w="120" w:type="dxa"/>
            </w:tcMar>
            <w:shd w:fill="E8EEF5"/>
          </w:tcPr>
          <w:p>
            <w:pPr>
              <w:spacing w:after="0"/>
            </w:pPr>
            <w:r>
              <w:rPr>
                <w:b/>
                <w:color w:val="17365D"/>
                <w:sz w:val="17"/>
              </w:rPr>
              <w:t>Touch</w:t>
            </w:r>
          </w:p>
        </w:tc>
        <w:tc>
          <w:tcPr>
            <w:tcW w:type="dxa" w:w="1000"/>
            <w:vAlign w:val="center"/>
            <w:tcMar>
              <w:top w:w="90" w:type="dxa"/>
              <w:start w:w="120" w:type="dxa"/>
              <w:bottom w:w="90" w:type="dxa"/>
              <w:end w:w="120" w:type="dxa"/>
            </w:tcMar>
            <w:shd w:fill="E8EEF5"/>
          </w:tcPr>
          <w:p>
            <w:pPr>
              <w:spacing w:after="0"/>
            </w:pPr>
            <w:r>
              <w:rPr>
                <w:b/>
                <w:color w:val="17365D"/>
                <w:sz w:val="17"/>
              </w:rPr>
              <w:t>Timing</w:t>
            </w:r>
          </w:p>
        </w:tc>
        <w:tc>
          <w:tcPr>
            <w:tcW w:type="dxa" w:w="1500"/>
            <w:vAlign w:val="center"/>
            <w:tcMar>
              <w:top w:w="90" w:type="dxa"/>
              <w:start w:w="120" w:type="dxa"/>
              <w:bottom w:w="90" w:type="dxa"/>
              <w:end w:w="120" w:type="dxa"/>
            </w:tcMar>
            <w:shd w:fill="E8EEF5"/>
          </w:tcPr>
          <w:p>
            <w:pPr>
              <w:spacing w:after="0"/>
            </w:pPr>
            <w:r>
              <w:rPr>
                <w:b/>
                <w:color w:val="17365D"/>
                <w:sz w:val="17"/>
              </w:rPr>
              <w:t>Job</w:t>
            </w:r>
          </w:p>
        </w:tc>
        <w:tc>
          <w:tcPr>
            <w:tcW w:type="dxa" w:w="4200"/>
            <w:vAlign w:val="center"/>
            <w:tcMar>
              <w:top w:w="90" w:type="dxa"/>
              <w:start w:w="120" w:type="dxa"/>
              <w:bottom w:w="90" w:type="dxa"/>
              <w:end w:w="120" w:type="dxa"/>
            </w:tcMar>
            <w:shd w:fill="E8EEF5"/>
          </w:tcPr>
          <w:p>
            <w:pPr>
              <w:spacing w:after="0"/>
            </w:pPr>
            <w:r>
              <w:rPr>
                <w:b/>
                <w:color w:val="17365D"/>
                <w:sz w:val="17"/>
              </w:rPr>
              <w:t>Message pattern</w:t>
            </w:r>
          </w:p>
        </w:tc>
        <w:tc>
          <w:tcPr>
            <w:tcW w:type="dxa" w:w="1460"/>
            <w:vAlign w:val="center"/>
            <w:tcMar>
              <w:top w:w="90" w:type="dxa"/>
              <w:start w:w="120" w:type="dxa"/>
              <w:bottom w:w="90" w:type="dxa"/>
              <w:end w:w="120" w:type="dxa"/>
            </w:tcMar>
            <w:shd w:fill="E8EEF5"/>
          </w:tcPr>
          <w:p>
            <w:pPr>
              <w:spacing w:after="0"/>
            </w:pPr>
            <w:r>
              <w:rPr>
                <w:b/>
                <w:color w:val="17365D"/>
                <w:sz w:val="17"/>
              </w:rPr>
              <w:t>CTA</w:t>
            </w:r>
          </w:p>
        </w:tc>
      </w:tr>
      <w:tr>
        <w:tc>
          <w:tcPr>
            <w:tcW w:type="dxa" w:w="1200"/>
          </w:tcPr>
          <w:p>
            <w:pPr>
              <w:spacing w:after="0" w:line="259" w:lineRule="auto"/>
            </w:pPr>
            <w:r>
              <w:rPr>
                <w:color w:val="1F2937"/>
                <w:sz w:val="17"/>
              </w:rPr>
              <w:t>BDR 1</w:t>
            </w:r>
          </w:p>
        </w:tc>
        <w:tc>
          <w:tcPr>
            <w:tcW w:type="dxa" w:w="1000"/>
          </w:tcPr>
          <w:p>
            <w:pPr>
              <w:spacing w:after="0" w:line="259" w:lineRule="auto"/>
            </w:pPr>
            <w:r>
              <w:rPr>
                <w:color w:val="1F2937"/>
                <w:sz w:val="17"/>
              </w:rPr>
              <w:t>Day 1</w:t>
            </w:r>
          </w:p>
        </w:tc>
        <w:tc>
          <w:tcPr>
            <w:tcW w:type="dxa" w:w="1500"/>
          </w:tcPr>
          <w:p>
            <w:pPr>
              <w:spacing w:after="0" w:line="259" w:lineRule="auto"/>
            </w:pPr>
            <w:r>
              <w:rPr>
                <w:color w:val="1F2937"/>
                <w:sz w:val="17"/>
              </w:rPr>
              <w:t>Education</w:t>
            </w:r>
          </w:p>
        </w:tc>
        <w:tc>
          <w:tcPr>
            <w:tcW w:type="dxa" w:w="4200"/>
          </w:tcPr>
          <w:p>
            <w:pPr>
              <w:spacing w:after="0" w:line="259" w:lineRule="auto"/>
            </w:pPr>
            <w:r>
              <w:rPr>
                <w:color w:val="1F2937"/>
                <w:sz w:val="17"/>
              </w:rPr>
              <w:t>[PROBLEM] is creating related questions about [CONSTRAINT]. This short experience summarizes the tradeoffs teams are evaluating.</w:t>
            </w:r>
          </w:p>
        </w:tc>
        <w:tc>
          <w:tcPr>
            <w:tcW w:type="dxa" w:w="1460"/>
          </w:tcPr>
          <w:p>
            <w:pPr>
              <w:spacing w:after="0" w:line="259" w:lineRule="auto"/>
            </w:pPr>
            <w:r>
              <w:rPr>
                <w:color w:val="1F2937"/>
                <w:sz w:val="17"/>
              </w:rPr>
              <w:t>Explore the resource hub</w:t>
            </w:r>
          </w:p>
        </w:tc>
      </w:tr>
      <w:tr>
        <w:tc>
          <w:tcPr>
            <w:tcW w:type="dxa" w:w="1200"/>
          </w:tcPr>
          <w:p>
            <w:pPr>
              <w:spacing w:after="0" w:line="259" w:lineRule="auto"/>
            </w:pPr>
            <w:r>
              <w:rPr>
                <w:color w:val="1F2937"/>
                <w:sz w:val="17"/>
              </w:rPr>
              <w:t>BDR 2</w:t>
            </w:r>
          </w:p>
        </w:tc>
        <w:tc>
          <w:tcPr>
            <w:tcW w:type="dxa" w:w="1000"/>
          </w:tcPr>
          <w:p>
            <w:pPr>
              <w:spacing w:after="0" w:line="259" w:lineRule="auto"/>
            </w:pPr>
            <w:r>
              <w:rPr>
                <w:color w:val="1F2937"/>
                <w:sz w:val="17"/>
              </w:rPr>
              <w:t>Day 4</w:t>
            </w:r>
          </w:p>
        </w:tc>
        <w:tc>
          <w:tcPr>
            <w:tcW w:type="dxa" w:w="1500"/>
          </w:tcPr>
          <w:p>
            <w:pPr>
              <w:spacing w:after="0" w:line="259" w:lineRule="auto"/>
            </w:pPr>
            <w:r>
              <w:rPr>
                <w:color w:val="1F2937"/>
                <w:sz w:val="17"/>
              </w:rPr>
              <w:t>Diagnostic</w:t>
            </w:r>
          </w:p>
        </w:tc>
        <w:tc>
          <w:tcPr>
            <w:tcW w:type="dxa" w:w="4200"/>
          </w:tcPr>
          <w:p>
            <w:pPr>
              <w:spacing w:after="0" w:line="259" w:lineRule="auto"/>
            </w:pPr>
            <w:r>
              <w:rPr>
                <w:color w:val="1F2937"/>
                <w:sz w:val="17"/>
              </w:rPr>
              <w:t>Projects often stall when [CONSTRAINTS] must be solved together. Which creates the most drag for your team?</w:t>
            </w:r>
          </w:p>
        </w:tc>
        <w:tc>
          <w:tcPr>
            <w:tcW w:type="dxa" w:w="1460"/>
          </w:tcPr>
          <w:p>
            <w:pPr>
              <w:spacing w:after="0" w:line="259" w:lineRule="auto"/>
            </w:pPr>
            <w:r>
              <w:rPr>
                <w:color w:val="1F2937"/>
                <w:sz w:val="17"/>
              </w:rPr>
              <w:t>View the decision path</w:t>
            </w:r>
          </w:p>
        </w:tc>
      </w:tr>
      <w:tr>
        <w:tc>
          <w:tcPr>
            <w:tcW w:type="dxa" w:w="1200"/>
          </w:tcPr>
          <w:p>
            <w:pPr>
              <w:spacing w:after="0" w:line="259" w:lineRule="auto"/>
            </w:pPr>
            <w:r>
              <w:rPr>
                <w:color w:val="1F2937"/>
                <w:sz w:val="17"/>
              </w:rPr>
              <w:t>BDR 3</w:t>
            </w:r>
          </w:p>
        </w:tc>
        <w:tc>
          <w:tcPr>
            <w:tcW w:type="dxa" w:w="1000"/>
          </w:tcPr>
          <w:p>
            <w:pPr>
              <w:spacing w:after="0" w:line="259" w:lineRule="auto"/>
            </w:pPr>
            <w:r>
              <w:rPr>
                <w:color w:val="1F2937"/>
                <w:sz w:val="17"/>
              </w:rPr>
              <w:t>Day 8</w:t>
            </w:r>
          </w:p>
        </w:tc>
        <w:tc>
          <w:tcPr>
            <w:tcW w:type="dxa" w:w="1500"/>
          </w:tcPr>
          <w:p>
            <w:pPr>
              <w:spacing w:after="0" w:line="259" w:lineRule="auto"/>
            </w:pPr>
            <w:r>
              <w:rPr>
                <w:color w:val="1F2937"/>
                <w:sz w:val="17"/>
              </w:rPr>
              <w:t>Focused review</w:t>
            </w:r>
          </w:p>
        </w:tc>
        <w:tc>
          <w:tcPr>
            <w:tcW w:type="dxa" w:w="4200"/>
          </w:tcPr>
          <w:p>
            <w:pPr>
              <w:spacing w:after="0" w:line="259" w:lineRule="auto"/>
            </w:pPr>
            <w:r>
              <w:rPr>
                <w:color w:val="1F2937"/>
                <w:sz w:val="17"/>
              </w:rPr>
              <w:t>A useful next step may be a focused review of [INPUTS], rather than a broad product demo.</w:t>
            </w:r>
          </w:p>
        </w:tc>
        <w:tc>
          <w:tcPr>
            <w:tcW w:type="dxa" w:w="1460"/>
          </w:tcPr>
          <w:p>
            <w:pPr>
              <w:spacing w:after="0" w:line="259" w:lineRule="auto"/>
            </w:pPr>
            <w:r>
              <w:rPr>
                <w:color w:val="1F2937"/>
                <w:sz w:val="17"/>
              </w:rPr>
              <w:t>30-minute review</w:t>
            </w:r>
          </w:p>
        </w:tc>
      </w:tr>
      <w:tr>
        <w:tc>
          <w:tcPr>
            <w:tcW w:type="dxa" w:w="1200"/>
          </w:tcPr>
          <w:p>
            <w:pPr>
              <w:spacing w:after="0" w:line="259" w:lineRule="auto"/>
            </w:pPr>
            <w:r>
              <w:rPr>
                <w:color w:val="1F2937"/>
                <w:sz w:val="17"/>
              </w:rPr>
              <w:t>BDR 4</w:t>
            </w:r>
          </w:p>
        </w:tc>
        <w:tc>
          <w:tcPr>
            <w:tcW w:type="dxa" w:w="1000"/>
          </w:tcPr>
          <w:p>
            <w:pPr>
              <w:spacing w:after="0" w:line="259" w:lineRule="auto"/>
            </w:pPr>
            <w:r>
              <w:rPr>
                <w:color w:val="1F2937"/>
                <w:sz w:val="17"/>
              </w:rPr>
              <w:t>Day 13</w:t>
            </w:r>
          </w:p>
        </w:tc>
        <w:tc>
          <w:tcPr>
            <w:tcW w:type="dxa" w:w="1500"/>
          </w:tcPr>
          <w:p>
            <w:pPr>
              <w:spacing w:after="0" w:line="259" w:lineRule="auto"/>
            </w:pPr>
            <w:r>
              <w:rPr>
                <w:color w:val="1F2937"/>
                <w:sz w:val="17"/>
              </w:rPr>
              <w:t>Proof</w:t>
            </w:r>
          </w:p>
        </w:tc>
        <w:tc>
          <w:tcPr>
            <w:tcW w:type="dxa" w:w="4200"/>
          </w:tcPr>
          <w:p>
            <w:pPr>
              <w:spacing w:after="0" w:line="259" w:lineRule="auto"/>
            </w:pPr>
            <w:r>
              <w:rPr>
                <w:color w:val="1F2937"/>
                <w:sz w:val="17"/>
              </w:rPr>
              <w:t>Here is an approved customer example aligned to [OUTCOME]. The results are theirs, not a guarantee.</w:t>
            </w:r>
          </w:p>
        </w:tc>
        <w:tc>
          <w:tcPr>
            <w:tcW w:type="dxa" w:w="1460"/>
          </w:tcPr>
          <w:p>
            <w:pPr>
              <w:spacing w:after="0" w:line="259" w:lineRule="auto"/>
            </w:pPr>
            <w:r>
              <w:rPr>
                <w:color w:val="1F2937"/>
                <w:sz w:val="17"/>
              </w:rPr>
              <w:t>Review the proof</w:t>
            </w:r>
          </w:p>
        </w:tc>
      </w:tr>
      <w:tr>
        <w:tc>
          <w:tcPr>
            <w:tcW w:type="dxa" w:w="1200"/>
          </w:tcPr>
          <w:p>
            <w:pPr>
              <w:spacing w:after="0" w:line="259" w:lineRule="auto"/>
            </w:pPr>
            <w:r>
              <w:rPr>
                <w:color w:val="1F2937"/>
                <w:sz w:val="17"/>
              </w:rPr>
              <w:t>BDR 5</w:t>
            </w:r>
          </w:p>
        </w:tc>
        <w:tc>
          <w:tcPr>
            <w:tcW w:type="dxa" w:w="1000"/>
          </w:tcPr>
          <w:p>
            <w:pPr>
              <w:spacing w:after="0" w:line="259" w:lineRule="auto"/>
            </w:pPr>
            <w:r>
              <w:rPr>
                <w:color w:val="1F2937"/>
                <w:sz w:val="17"/>
              </w:rPr>
              <w:t>Day 18</w:t>
            </w:r>
          </w:p>
        </w:tc>
        <w:tc>
          <w:tcPr>
            <w:tcW w:type="dxa" w:w="1500"/>
          </w:tcPr>
          <w:p>
            <w:pPr>
              <w:spacing w:after="0" w:line="259" w:lineRule="auto"/>
            </w:pPr>
            <w:r>
              <w:rPr>
                <w:color w:val="1F2937"/>
                <w:sz w:val="17"/>
              </w:rPr>
              <w:t>Respectful close</w:t>
            </w:r>
          </w:p>
        </w:tc>
        <w:tc>
          <w:tcPr>
            <w:tcW w:type="dxa" w:w="4200"/>
          </w:tcPr>
          <w:p>
            <w:pPr>
              <w:spacing w:after="0" w:line="259" w:lineRule="auto"/>
            </w:pPr>
            <w:r>
              <w:rPr>
                <w:color w:val="1F2937"/>
                <w:sz w:val="17"/>
              </w:rPr>
              <w:t>If this is not a current priority, I can close the loop and reconnect when the timing changes.</w:t>
            </w:r>
          </w:p>
        </w:tc>
        <w:tc>
          <w:tcPr>
            <w:tcW w:type="dxa" w:w="1460"/>
          </w:tcPr>
          <w:p>
            <w:pPr>
              <w:spacing w:after="0" w:line="259" w:lineRule="auto"/>
            </w:pPr>
            <w:r>
              <w:rPr>
                <w:color w:val="1F2937"/>
                <w:sz w:val="17"/>
              </w:rPr>
              <w:t>Worth a quick review?</w:t>
            </w:r>
          </w:p>
        </w:tc>
      </w:tr>
      <w:tr>
        <w:tc>
          <w:tcPr>
            <w:tcW w:type="dxa" w:w="1200"/>
          </w:tcPr>
          <w:p>
            <w:pPr>
              <w:spacing w:after="0" w:line="259" w:lineRule="auto"/>
            </w:pPr>
            <w:r>
              <w:rPr>
                <w:color w:val="1F2937"/>
                <w:sz w:val="17"/>
              </w:rPr>
              <w:t>MAP 1</w:t>
            </w:r>
          </w:p>
        </w:tc>
        <w:tc>
          <w:tcPr>
            <w:tcW w:type="dxa" w:w="1000"/>
          </w:tcPr>
          <w:p>
            <w:pPr>
              <w:spacing w:after="0" w:line="259" w:lineRule="auto"/>
            </w:pPr>
            <w:r>
              <w:rPr>
                <w:color w:val="1F2937"/>
                <w:sz w:val="17"/>
              </w:rPr>
              <w:t>Day 1</w:t>
            </w:r>
          </w:p>
        </w:tc>
        <w:tc>
          <w:tcPr>
            <w:tcW w:type="dxa" w:w="1500"/>
          </w:tcPr>
          <w:p>
            <w:pPr>
              <w:spacing w:after="0" w:line="259" w:lineRule="auto"/>
            </w:pPr>
            <w:r>
              <w:rPr>
                <w:color w:val="1F2937"/>
                <w:sz w:val="17"/>
              </w:rPr>
              <w:t>Awareness</w:t>
            </w:r>
          </w:p>
        </w:tc>
        <w:tc>
          <w:tcPr>
            <w:tcW w:type="dxa" w:w="4200"/>
          </w:tcPr>
          <w:p>
            <w:pPr>
              <w:spacing w:after="0" w:line="259" w:lineRule="auto"/>
            </w:pPr>
            <w:r>
              <w:rPr>
                <w:color w:val="1F2937"/>
                <w:sz w:val="17"/>
              </w:rPr>
              <w:t>Problem education and an ungated Folloze hub.</w:t>
            </w:r>
          </w:p>
        </w:tc>
        <w:tc>
          <w:tcPr>
            <w:tcW w:type="dxa" w:w="1460"/>
          </w:tcPr>
          <w:p>
            <w:pPr>
              <w:spacing w:after="0" w:line="259" w:lineRule="auto"/>
            </w:pPr>
            <w:r>
              <w:rPr>
                <w:color w:val="1F2937"/>
                <w:sz w:val="17"/>
              </w:rPr>
              <w:t>Explore</w:t>
            </w:r>
          </w:p>
        </w:tc>
      </w:tr>
      <w:tr>
        <w:tc>
          <w:tcPr>
            <w:tcW w:type="dxa" w:w="1200"/>
          </w:tcPr>
          <w:p>
            <w:pPr>
              <w:spacing w:after="0" w:line="259" w:lineRule="auto"/>
            </w:pPr>
            <w:r>
              <w:rPr>
                <w:color w:val="1F2937"/>
                <w:sz w:val="17"/>
              </w:rPr>
              <w:t>MAP 2</w:t>
            </w:r>
          </w:p>
        </w:tc>
        <w:tc>
          <w:tcPr>
            <w:tcW w:type="dxa" w:w="1000"/>
          </w:tcPr>
          <w:p>
            <w:pPr>
              <w:spacing w:after="0" w:line="259" w:lineRule="auto"/>
            </w:pPr>
            <w:r>
              <w:rPr>
                <w:color w:val="1F2937"/>
                <w:sz w:val="17"/>
              </w:rPr>
              <w:t>Day 10</w:t>
            </w:r>
          </w:p>
        </w:tc>
        <w:tc>
          <w:tcPr>
            <w:tcW w:type="dxa" w:w="1500"/>
          </w:tcPr>
          <w:p>
            <w:pPr>
              <w:spacing w:after="0" w:line="259" w:lineRule="auto"/>
            </w:pPr>
            <w:r>
              <w:rPr>
                <w:color w:val="1F2937"/>
                <w:sz w:val="17"/>
              </w:rPr>
              <w:t>Consideration</w:t>
            </w:r>
          </w:p>
        </w:tc>
        <w:tc>
          <w:tcPr>
            <w:tcW w:type="dxa" w:w="4200"/>
          </w:tcPr>
          <w:p>
            <w:pPr>
              <w:spacing w:after="0" w:line="259" w:lineRule="auto"/>
            </w:pPr>
            <w:r>
              <w:rPr>
                <w:color w:val="1F2937"/>
                <w:sz w:val="17"/>
              </w:rPr>
              <w:t>Persona/use-case path with next-best content.</w:t>
            </w:r>
          </w:p>
        </w:tc>
        <w:tc>
          <w:tcPr>
            <w:tcW w:type="dxa" w:w="1460"/>
          </w:tcPr>
          <w:p>
            <w:pPr>
              <w:spacing w:after="0" w:line="259" w:lineRule="auto"/>
            </w:pPr>
            <w:r>
              <w:rPr>
                <w:color w:val="1F2937"/>
                <w:sz w:val="17"/>
              </w:rPr>
              <w:t>Choose a path</w:t>
            </w:r>
          </w:p>
        </w:tc>
      </w:tr>
      <w:tr>
        <w:tc>
          <w:tcPr>
            <w:tcW w:type="dxa" w:w="1200"/>
          </w:tcPr>
          <w:p>
            <w:pPr>
              <w:spacing w:after="0" w:line="259" w:lineRule="auto"/>
            </w:pPr>
            <w:r>
              <w:rPr>
                <w:color w:val="1F2937"/>
                <w:sz w:val="17"/>
              </w:rPr>
              <w:t>MAP 3</w:t>
            </w:r>
          </w:p>
        </w:tc>
        <w:tc>
          <w:tcPr>
            <w:tcW w:type="dxa" w:w="1000"/>
          </w:tcPr>
          <w:p>
            <w:pPr>
              <w:spacing w:after="0" w:line="259" w:lineRule="auto"/>
            </w:pPr>
            <w:r>
              <w:rPr>
                <w:color w:val="1F2937"/>
                <w:sz w:val="17"/>
              </w:rPr>
              <w:t>Day 20</w:t>
            </w:r>
          </w:p>
        </w:tc>
        <w:tc>
          <w:tcPr>
            <w:tcW w:type="dxa" w:w="1500"/>
          </w:tcPr>
          <w:p>
            <w:pPr>
              <w:spacing w:after="0" w:line="259" w:lineRule="auto"/>
            </w:pPr>
            <w:r>
              <w:rPr>
                <w:color w:val="1F2937"/>
                <w:sz w:val="17"/>
              </w:rPr>
              <w:t>Specialist</w:t>
            </w:r>
          </w:p>
        </w:tc>
        <w:tc>
          <w:tcPr>
            <w:tcW w:type="dxa" w:w="4200"/>
          </w:tcPr>
          <w:p>
            <w:pPr>
              <w:spacing w:after="0" w:line="259" w:lineRule="auto"/>
            </w:pPr>
            <w:r>
              <w:rPr>
                <w:color w:val="1F2937"/>
                <w:sz w:val="17"/>
              </w:rPr>
              <w:t>Technical, security, risk, or operational content based on persona and signal.</w:t>
            </w:r>
          </w:p>
        </w:tc>
        <w:tc>
          <w:tcPr>
            <w:tcW w:type="dxa" w:w="1460"/>
          </w:tcPr>
          <w:p>
            <w:pPr>
              <w:spacing w:after="0" w:line="259" w:lineRule="auto"/>
            </w:pPr>
            <w:r>
              <w:rPr>
                <w:color w:val="1F2937"/>
                <w:sz w:val="17"/>
              </w:rPr>
              <w:t>Review the guide</w:t>
            </w:r>
          </w:p>
        </w:tc>
      </w:tr>
      <w:tr>
        <w:tc>
          <w:tcPr>
            <w:tcW w:type="dxa" w:w="1200"/>
          </w:tcPr>
          <w:p>
            <w:pPr>
              <w:spacing w:after="0" w:line="259" w:lineRule="auto"/>
            </w:pPr>
            <w:r>
              <w:rPr>
                <w:color w:val="1F2937"/>
                <w:sz w:val="17"/>
              </w:rPr>
              <w:t>MAP 4</w:t>
            </w:r>
          </w:p>
        </w:tc>
        <w:tc>
          <w:tcPr>
            <w:tcW w:type="dxa" w:w="1000"/>
          </w:tcPr>
          <w:p>
            <w:pPr>
              <w:spacing w:after="0" w:line="259" w:lineRule="auto"/>
            </w:pPr>
            <w:r>
              <w:rPr>
                <w:color w:val="1F2937"/>
                <w:sz w:val="17"/>
              </w:rPr>
              <w:t>Day 30</w:t>
            </w:r>
          </w:p>
        </w:tc>
        <w:tc>
          <w:tcPr>
            <w:tcW w:type="dxa" w:w="1500"/>
          </w:tcPr>
          <w:p>
            <w:pPr>
              <w:spacing w:after="0" w:line="259" w:lineRule="auto"/>
            </w:pPr>
            <w:r>
              <w:rPr>
                <w:color w:val="1F2937"/>
                <w:sz w:val="17"/>
              </w:rPr>
              <w:t>Decision</w:t>
            </w:r>
          </w:p>
        </w:tc>
        <w:tc>
          <w:tcPr>
            <w:tcW w:type="dxa" w:w="4200"/>
          </w:tcPr>
          <w:p>
            <w:pPr>
              <w:spacing w:after="0" w:line="259" w:lineRule="auto"/>
            </w:pPr>
            <w:r>
              <w:rPr>
                <w:color w:val="1F2937"/>
                <w:sz w:val="17"/>
              </w:rPr>
              <w:t>Proof and a focused high-value offer; suppress active sales streams.</w:t>
            </w:r>
          </w:p>
        </w:tc>
        <w:tc>
          <w:tcPr>
            <w:tcW w:type="dxa" w:w="1460"/>
          </w:tcPr>
          <w:p>
            <w:pPr>
              <w:spacing w:after="0" w:line="259" w:lineRule="auto"/>
            </w:pPr>
            <w:r>
              <w:rPr>
                <w:color w:val="1F2937"/>
                <w:sz w:val="17"/>
              </w:rPr>
              <w:t>Request a review</w:t>
            </w:r>
          </w:p>
        </w:tc>
      </w:tr>
    </w:tbl>
    <w:p>
      <w:pPr>
        <w:spacing w:after="20"/>
      </w:pPr>
    </w:p>
    <w:p>
      <w:pPr>
        <w:pStyle w:val="Heading2"/>
      </w:pPr>
      <w:r>
        <w:t>Sequence QA</w:t>
      </w:r>
    </w:p>
    <w:p>
      <w:pPr>
        <w:pStyle w:val="ListBullet"/>
        <w:spacing w:after="80"/>
      </w:pPr>
      <w:r>
        <w:t>Every touch adds new value; no repeated pitch with a different subject line.</w:t>
      </w:r>
    </w:p>
    <w:p>
      <w:pPr>
        <w:pStyle w:val="ListBullet"/>
        <w:spacing w:after="80"/>
      </w:pPr>
      <w:r>
        <w:t>The message reflects a documented persona problem and current stage.</w:t>
      </w:r>
    </w:p>
    <w:p>
      <w:pPr>
        <w:pStyle w:val="ListBullet"/>
        <w:spacing w:after="80"/>
      </w:pPr>
      <w:r>
        <w:t>The experience link and CTA match the content of the message.</w:t>
      </w:r>
    </w:p>
    <w:p>
      <w:pPr>
        <w:pStyle w:val="ListBullet"/>
        <w:spacing w:after="80"/>
      </w:pPr>
      <w:r>
        <w:t>No surveillance language, invented account facts, unsupported claims, or guaranteed outcomes.</w:t>
      </w:r>
    </w:p>
    <w:p>
      <w:pPr>
        <w:pStyle w:val="ListBullet"/>
        <w:spacing w:after="80"/>
      </w:pPr>
      <w:r>
        <w:t>Suppression, exit, downgrade, and re-entry behavior is specified.</w:t>
      </w:r>
    </w:p>
    <w:p>
      <w:r>
        <w:br w:type="page"/>
      </w:r>
    </w:p>
    <w:p>
      <w:pPr>
        <w:pStyle w:val="Heading1"/>
      </w:pPr>
      <w:r>
        <w:t>12. Measurement, governance, and optimization</w:t>
      </w:r>
    </w:p>
    <w:p>
      <w:r>
        <w:t>Measurement should answer whether the right accounts and buying groups are progressing toward accepted opportunities and commercial value. Activity metrics are diagnostic, not the program objective.</w:t>
      </w:r>
    </w:p>
    <w:tbl>
      <w:tblPr>
        <w:tblStyle w:val="TableGrid"/>
        <w:tblW w:type="dxa" w:w="9360"/>
        <w:jc w:val="left"/>
        <w:tblLayout w:type="fixed"/>
        <w:tblLook w:firstColumn="1" w:firstRow="1" w:lastColumn="0" w:lastRow="0" w:noHBand="0" w:noVBand="1" w:val="04A0"/>
        <w:tblInd w:w="120" w:type="dxa"/>
      </w:tblPr>
      <w:tblGrid>
        <w:gridCol w:w="1500"/>
        <w:gridCol w:w="2800"/>
        <w:gridCol w:w="3500"/>
        <w:gridCol w:w="1560"/>
      </w:tblGrid>
      <w:tr>
        <w:trPr>
          <w:tblHeader w:val="true"/>
        </w:trPr>
        <w:tc>
          <w:tcPr>
            <w:tcW w:type="dxa" w:w="1500"/>
            <w:vAlign w:val="center"/>
            <w:tcMar>
              <w:top w:w="90" w:type="dxa"/>
              <w:start w:w="120" w:type="dxa"/>
              <w:bottom w:w="90" w:type="dxa"/>
              <w:end w:w="120" w:type="dxa"/>
            </w:tcMar>
            <w:shd w:fill="E8EEF5"/>
          </w:tcPr>
          <w:p>
            <w:pPr>
              <w:spacing w:after="0"/>
            </w:pPr>
            <w:r>
              <w:rPr>
                <w:b/>
                <w:color w:val="17365D"/>
                <w:sz w:val="17"/>
              </w:rPr>
              <w:t>Area</w:t>
            </w:r>
          </w:p>
        </w:tc>
        <w:tc>
          <w:tcPr>
            <w:tcW w:type="dxa" w:w="2800"/>
            <w:vAlign w:val="center"/>
            <w:tcMar>
              <w:top w:w="90" w:type="dxa"/>
              <w:start w:w="120" w:type="dxa"/>
              <w:bottom w:w="90" w:type="dxa"/>
              <w:end w:w="120" w:type="dxa"/>
            </w:tcMar>
            <w:shd w:fill="E8EEF5"/>
          </w:tcPr>
          <w:p>
            <w:pPr>
              <w:spacing w:after="0"/>
            </w:pPr>
            <w:r>
              <w:rPr>
                <w:b/>
                <w:color w:val="17365D"/>
                <w:sz w:val="17"/>
              </w:rPr>
              <w:t>Business question</w:t>
            </w:r>
          </w:p>
        </w:tc>
        <w:tc>
          <w:tcPr>
            <w:tcW w:type="dxa" w:w="3500"/>
            <w:vAlign w:val="center"/>
            <w:tcMar>
              <w:top w:w="90" w:type="dxa"/>
              <w:start w:w="120" w:type="dxa"/>
              <w:bottom w:w="90" w:type="dxa"/>
              <w:end w:w="120" w:type="dxa"/>
            </w:tcMar>
            <w:shd w:fill="E8EEF5"/>
          </w:tcPr>
          <w:p>
            <w:pPr>
              <w:spacing w:after="0"/>
            </w:pPr>
            <w:r>
              <w:rPr>
                <w:b/>
                <w:color w:val="17365D"/>
                <w:sz w:val="17"/>
              </w:rPr>
              <w:t>Measures</w:t>
            </w:r>
          </w:p>
        </w:tc>
        <w:tc>
          <w:tcPr>
            <w:tcW w:type="dxa" w:w="1560"/>
            <w:vAlign w:val="center"/>
            <w:tcMar>
              <w:top w:w="90" w:type="dxa"/>
              <w:start w:w="120" w:type="dxa"/>
              <w:bottom w:w="90" w:type="dxa"/>
              <w:end w:w="120" w:type="dxa"/>
            </w:tcMar>
            <w:shd w:fill="E8EEF5"/>
          </w:tcPr>
          <w:p>
            <w:pPr>
              <w:spacing w:after="0"/>
            </w:pPr>
            <w:r>
              <w:rPr>
                <w:b/>
                <w:color w:val="17365D"/>
                <w:sz w:val="17"/>
              </w:rPr>
              <w:t>Cadence / owner</w:t>
            </w:r>
          </w:p>
        </w:tc>
      </w:tr>
      <w:tr>
        <w:tc>
          <w:tcPr>
            <w:tcW w:type="dxa" w:w="1500"/>
          </w:tcPr>
          <w:p>
            <w:pPr>
              <w:spacing w:after="0" w:line="259" w:lineRule="auto"/>
            </w:pPr>
            <w:r>
              <w:rPr>
                <w:color w:val="1F2937"/>
                <w:sz w:val="17"/>
              </w:rPr>
              <w:t>Target</w:t>
            </w:r>
          </w:p>
        </w:tc>
        <w:tc>
          <w:tcPr>
            <w:tcW w:type="dxa" w:w="2800"/>
          </w:tcPr>
          <w:p>
            <w:pPr>
              <w:spacing w:after="0" w:line="259" w:lineRule="auto"/>
            </w:pPr>
            <w:r>
              <w:rPr>
                <w:color w:val="1F2937"/>
                <w:sz w:val="17"/>
              </w:rPr>
              <w:t>Are the intended accounts and personas reachable?</w:t>
            </w:r>
          </w:p>
        </w:tc>
        <w:tc>
          <w:tcPr>
            <w:tcW w:type="dxa" w:w="3500"/>
          </w:tcPr>
          <w:p>
            <w:pPr>
              <w:spacing w:after="0" w:line="259" w:lineRule="auto"/>
            </w:pPr>
            <w:r>
              <w:rPr>
                <w:color w:val="1F2937"/>
                <w:sz w:val="17"/>
              </w:rPr>
              <w:t>Coverage, match rate, contact depth, reach and frequency</w:t>
            </w:r>
          </w:p>
        </w:tc>
        <w:tc>
          <w:tcPr>
            <w:tcW w:type="dxa" w:w="1560"/>
          </w:tcPr>
          <w:p>
            <w:pPr>
              <w:spacing w:after="0" w:line="259" w:lineRule="auto"/>
            </w:pPr>
            <w:r>
              <w:rPr>
                <w:color w:val="1F2937"/>
                <w:sz w:val="17"/>
              </w:rPr>
              <w:t>Weekly / Marketing Ops</w:t>
            </w:r>
          </w:p>
        </w:tc>
      </w:tr>
      <w:tr>
        <w:tc>
          <w:tcPr>
            <w:tcW w:type="dxa" w:w="1500"/>
          </w:tcPr>
          <w:p>
            <w:pPr>
              <w:spacing w:after="0" w:line="259" w:lineRule="auto"/>
            </w:pPr>
            <w:r>
              <w:rPr>
                <w:color w:val="1F2937"/>
                <w:sz w:val="17"/>
              </w:rPr>
              <w:t>Awareness</w:t>
            </w:r>
          </w:p>
        </w:tc>
        <w:tc>
          <w:tcPr>
            <w:tcW w:type="dxa" w:w="2800"/>
          </w:tcPr>
          <w:p>
            <w:pPr>
              <w:spacing w:after="0" w:line="259" w:lineRule="auto"/>
            </w:pPr>
            <w:r>
              <w:rPr>
                <w:color w:val="1F2937"/>
                <w:sz w:val="17"/>
              </w:rPr>
              <w:t>Are accounts recognizing the problem?</w:t>
            </w:r>
          </w:p>
        </w:tc>
        <w:tc>
          <w:tcPr>
            <w:tcW w:type="dxa" w:w="3500"/>
          </w:tcPr>
          <w:p>
            <w:pPr>
              <w:spacing w:after="0" w:line="259" w:lineRule="auto"/>
            </w:pPr>
            <w:r>
              <w:rPr>
                <w:color w:val="1F2937"/>
                <w:sz w:val="17"/>
              </w:rPr>
              <w:t>Engaged accounts, people, dwell, completions and return visits</w:t>
            </w:r>
          </w:p>
        </w:tc>
        <w:tc>
          <w:tcPr>
            <w:tcW w:type="dxa" w:w="1560"/>
          </w:tcPr>
          <w:p>
            <w:pPr>
              <w:spacing w:after="0" w:line="259" w:lineRule="auto"/>
            </w:pPr>
            <w:r>
              <w:rPr>
                <w:color w:val="1F2937"/>
                <w:sz w:val="17"/>
              </w:rPr>
              <w:t>Weekly / Campaign Lead</w:t>
            </w:r>
          </w:p>
        </w:tc>
      </w:tr>
      <w:tr>
        <w:tc>
          <w:tcPr>
            <w:tcW w:type="dxa" w:w="1500"/>
          </w:tcPr>
          <w:p>
            <w:pPr>
              <w:spacing w:after="0" w:line="259" w:lineRule="auto"/>
            </w:pPr>
            <w:r>
              <w:rPr>
                <w:color w:val="1F2937"/>
                <w:sz w:val="17"/>
              </w:rPr>
              <w:t>Consideration</w:t>
            </w:r>
          </w:p>
        </w:tc>
        <w:tc>
          <w:tcPr>
            <w:tcW w:type="dxa" w:w="2800"/>
          </w:tcPr>
          <w:p>
            <w:pPr>
              <w:spacing w:after="0" w:line="259" w:lineRule="auto"/>
            </w:pPr>
            <w:r>
              <w:rPr>
                <w:color w:val="1F2937"/>
                <w:sz w:val="17"/>
              </w:rPr>
              <w:t>Are buying groups exploring a path?</w:t>
            </w:r>
          </w:p>
        </w:tc>
        <w:tc>
          <w:tcPr>
            <w:tcW w:type="dxa" w:w="3500"/>
          </w:tcPr>
          <w:p>
            <w:pPr>
              <w:spacing w:after="0" w:line="259" w:lineRule="auto"/>
            </w:pPr>
            <w:r>
              <w:rPr>
                <w:color w:val="1F2937"/>
                <w:sz w:val="17"/>
              </w:rPr>
              <w:t>High-value assets, repeat visits, persona depth, events and replies</w:t>
            </w:r>
          </w:p>
        </w:tc>
        <w:tc>
          <w:tcPr>
            <w:tcW w:type="dxa" w:w="1560"/>
          </w:tcPr>
          <w:p>
            <w:pPr>
              <w:spacing w:after="0" w:line="259" w:lineRule="auto"/>
            </w:pPr>
            <w:r>
              <w:rPr>
                <w:color w:val="1F2937"/>
                <w:sz w:val="17"/>
              </w:rPr>
              <w:t>Weekly / ABM + BDR</w:t>
            </w:r>
          </w:p>
        </w:tc>
      </w:tr>
      <w:tr>
        <w:tc>
          <w:tcPr>
            <w:tcW w:type="dxa" w:w="1500"/>
          </w:tcPr>
          <w:p>
            <w:pPr>
              <w:spacing w:after="0" w:line="259" w:lineRule="auto"/>
            </w:pPr>
            <w:r>
              <w:rPr>
                <w:color w:val="1F2937"/>
                <w:sz w:val="17"/>
              </w:rPr>
              <w:t>Decision</w:t>
            </w:r>
          </w:p>
        </w:tc>
        <w:tc>
          <w:tcPr>
            <w:tcW w:type="dxa" w:w="2800"/>
          </w:tcPr>
          <w:p>
            <w:pPr>
              <w:spacing w:after="0" w:line="259" w:lineRule="auto"/>
            </w:pPr>
            <w:r>
              <w:rPr>
                <w:color w:val="1F2937"/>
                <w:sz w:val="17"/>
              </w:rPr>
              <w:t>Are accounts validating proof and architecture?</w:t>
            </w:r>
          </w:p>
        </w:tc>
        <w:tc>
          <w:tcPr>
            <w:tcW w:type="dxa" w:w="3500"/>
          </w:tcPr>
          <w:p>
            <w:pPr>
              <w:spacing w:after="0" w:line="259" w:lineRule="auto"/>
            </w:pPr>
            <w:r>
              <w:rPr>
                <w:color w:val="1F2937"/>
                <w:sz w:val="17"/>
              </w:rPr>
              <w:t>Proof engagement, workshops, surge-room depth and high-value CTAs</w:t>
            </w:r>
          </w:p>
        </w:tc>
        <w:tc>
          <w:tcPr>
            <w:tcW w:type="dxa" w:w="1560"/>
          </w:tcPr>
          <w:p>
            <w:pPr>
              <w:spacing w:after="0" w:line="259" w:lineRule="auto"/>
            </w:pPr>
            <w:r>
              <w:rPr>
                <w:color w:val="1F2937"/>
                <w:sz w:val="17"/>
              </w:rPr>
              <w:t>Daily alerts; weekly account review</w:t>
            </w:r>
          </w:p>
        </w:tc>
      </w:tr>
      <w:tr>
        <w:tc>
          <w:tcPr>
            <w:tcW w:type="dxa" w:w="1500"/>
          </w:tcPr>
          <w:p>
            <w:pPr>
              <w:spacing w:after="0" w:line="259" w:lineRule="auto"/>
            </w:pPr>
            <w:r>
              <w:rPr>
                <w:color w:val="1F2937"/>
                <w:sz w:val="17"/>
              </w:rPr>
              <w:t>Opportunity</w:t>
            </w:r>
          </w:p>
        </w:tc>
        <w:tc>
          <w:tcPr>
            <w:tcW w:type="dxa" w:w="2800"/>
          </w:tcPr>
          <w:p>
            <w:pPr>
              <w:spacing w:after="0" w:line="259" w:lineRule="auto"/>
            </w:pPr>
            <w:r>
              <w:rPr>
                <w:color w:val="1F2937"/>
                <w:sz w:val="17"/>
              </w:rPr>
              <w:t>Are accepted opportunities and value being created?</w:t>
            </w:r>
          </w:p>
        </w:tc>
        <w:tc>
          <w:tcPr>
            <w:tcW w:type="dxa" w:w="3500"/>
          </w:tcPr>
          <w:p>
            <w:pPr>
              <w:spacing w:after="0" w:line="259" w:lineRule="auto"/>
            </w:pPr>
            <w:r>
              <w:rPr>
                <w:color w:val="1F2937"/>
                <w:sz w:val="17"/>
              </w:rPr>
              <w:t>SAOs, low/base/high gross value, progression, next-step age and committee depth</w:t>
            </w:r>
          </w:p>
        </w:tc>
        <w:tc>
          <w:tcPr>
            <w:tcW w:type="dxa" w:w="1560"/>
          </w:tcPr>
          <w:p>
            <w:pPr>
              <w:spacing w:after="0" w:line="259" w:lineRule="auto"/>
            </w:pPr>
            <w:r>
              <w:rPr>
                <w:color w:val="1F2937"/>
                <w:sz w:val="17"/>
              </w:rPr>
              <w:t>Weekly pipeline; monthly executive review</w:t>
            </w:r>
          </w:p>
        </w:tc>
      </w:tr>
      <w:tr>
        <w:tc>
          <w:tcPr>
            <w:tcW w:type="dxa" w:w="1500"/>
          </w:tcPr>
          <w:p>
            <w:pPr>
              <w:spacing w:after="0" w:line="259" w:lineRule="auto"/>
            </w:pPr>
            <w:r>
              <w:rPr>
                <w:color w:val="1F2937"/>
                <w:sz w:val="17"/>
              </w:rPr>
              <w:t>Content</w:t>
            </w:r>
          </w:p>
        </w:tc>
        <w:tc>
          <w:tcPr>
            <w:tcW w:type="dxa" w:w="2800"/>
          </w:tcPr>
          <w:p>
            <w:pPr>
              <w:spacing w:after="0" w:line="259" w:lineRule="auto"/>
            </w:pPr>
            <w:r>
              <w:rPr>
                <w:color w:val="1F2937"/>
                <w:sz w:val="17"/>
              </w:rPr>
              <w:t>Does content advance accounts?</w:t>
            </w:r>
          </w:p>
        </w:tc>
        <w:tc>
          <w:tcPr>
            <w:tcW w:type="dxa" w:w="3500"/>
          </w:tcPr>
          <w:p>
            <w:pPr>
              <w:spacing w:after="0" w:line="259" w:lineRule="auto"/>
            </w:pPr>
            <w:r>
              <w:rPr>
                <w:color w:val="1F2937"/>
                <w:sz w:val="17"/>
              </w:rPr>
              <w:t>Next-step CTR and stage progression after content—not downloads alone</w:t>
            </w:r>
          </w:p>
        </w:tc>
        <w:tc>
          <w:tcPr>
            <w:tcW w:type="dxa" w:w="1560"/>
          </w:tcPr>
          <w:p>
            <w:pPr>
              <w:spacing w:after="0" w:line="259" w:lineRule="auto"/>
            </w:pPr>
            <w:r>
              <w:rPr>
                <w:color w:val="1F2937"/>
                <w:sz w:val="17"/>
              </w:rPr>
              <w:t>Monthly / Content</w:t>
            </w:r>
          </w:p>
        </w:tc>
      </w:tr>
      <w:tr>
        <w:tc>
          <w:tcPr>
            <w:tcW w:type="dxa" w:w="1500"/>
          </w:tcPr>
          <w:p>
            <w:pPr>
              <w:spacing w:after="0" w:line="259" w:lineRule="auto"/>
            </w:pPr>
            <w:r>
              <w:rPr>
                <w:color w:val="1F2937"/>
                <w:sz w:val="17"/>
              </w:rPr>
              <w:t>Experience</w:t>
            </w:r>
          </w:p>
        </w:tc>
        <w:tc>
          <w:tcPr>
            <w:tcW w:type="dxa" w:w="2800"/>
          </w:tcPr>
          <w:p>
            <w:pPr>
              <w:spacing w:after="0" w:line="259" w:lineRule="auto"/>
            </w:pPr>
            <w:r>
              <w:rPr>
                <w:color w:val="1F2937"/>
                <w:sz w:val="17"/>
              </w:rPr>
              <w:t>Are Folloze paths useful and personalized?</w:t>
            </w:r>
          </w:p>
        </w:tc>
        <w:tc>
          <w:tcPr>
            <w:tcW w:type="dxa" w:w="3500"/>
          </w:tcPr>
          <w:p>
            <w:pPr>
              <w:spacing w:after="0" w:line="259" w:lineRule="auto"/>
            </w:pPr>
            <w:r>
              <w:rPr>
                <w:color w:val="1F2937"/>
                <w:sz w:val="17"/>
              </w:rPr>
              <w:t>Visits, time, assets, CTAs, people and engagement-stage progression</w:t>
            </w:r>
          </w:p>
        </w:tc>
        <w:tc>
          <w:tcPr>
            <w:tcW w:type="dxa" w:w="1560"/>
          </w:tcPr>
          <w:p>
            <w:pPr>
              <w:spacing w:after="0" w:line="259" w:lineRule="auto"/>
            </w:pPr>
            <w:r>
              <w:rPr>
                <w:color w:val="1F2937"/>
                <w:sz w:val="17"/>
              </w:rPr>
              <w:t>Weekly / Experience Lead</w:t>
            </w:r>
          </w:p>
        </w:tc>
      </w:tr>
      <w:tr>
        <w:tc>
          <w:tcPr>
            <w:tcW w:type="dxa" w:w="1500"/>
          </w:tcPr>
          <w:p>
            <w:pPr>
              <w:spacing w:after="0" w:line="259" w:lineRule="auto"/>
            </w:pPr>
            <w:r>
              <w:rPr>
                <w:color w:val="1F2937"/>
                <w:sz w:val="17"/>
              </w:rPr>
              <w:t>Sales execution</w:t>
            </w:r>
          </w:p>
        </w:tc>
        <w:tc>
          <w:tcPr>
            <w:tcW w:type="dxa" w:w="2800"/>
          </w:tcPr>
          <w:p>
            <w:pPr>
              <w:spacing w:after="0" w:line="259" w:lineRule="auto"/>
            </w:pPr>
            <w:r>
              <w:rPr>
                <w:color w:val="1F2937"/>
                <w:sz w:val="17"/>
              </w:rPr>
              <w:t>Are signals receiving useful action?</w:t>
            </w:r>
          </w:p>
        </w:tc>
        <w:tc>
          <w:tcPr>
            <w:tcW w:type="dxa" w:w="3500"/>
          </w:tcPr>
          <w:p>
            <w:pPr>
              <w:spacing w:after="0" w:line="259" w:lineRule="auto"/>
            </w:pPr>
            <w:r>
              <w:rPr>
                <w:color w:val="1F2937"/>
                <w:sz w:val="17"/>
              </w:rPr>
              <w:t>SLA, acceptance, disposition, meeting quality and negative feedback</w:t>
            </w:r>
          </w:p>
        </w:tc>
        <w:tc>
          <w:tcPr>
            <w:tcW w:type="dxa" w:w="1560"/>
          </w:tcPr>
          <w:p>
            <w:pPr>
              <w:spacing w:after="0" w:line="259" w:lineRule="auto"/>
            </w:pPr>
            <w:r>
              <w:rPr>
                <w:color w:val="1F2937"/>
                <w:sz w:val="17"/>
              </w:rPr>
              <w:t>Daily / Sales Ops</w:t>
            </w:r>
          </w:p>
        </w:tc>
      </w:tr>
      <w:tr>
        <w:tc>
          <w:tcPr>
            <w:tcW w:type="dxa" w:w="1500"/>
          </w:tcPr>
          <w:p>
            <w:pPr>
              <w:spacing w:after="0" w:line="259" w:lineRule="auto"/>
            </w:pPr>
            <w:r>
              <w:rPr>
                <w:color w:val="1F2937"/>
                <w:sz w:val="17"/>
              </w:rPr>
              <w:t>Commercial</w:t>
            </w:r>
          </w:p>
        </w:tc>
        <w:tc>
          <w:tcPr>
            <w:tcW w:type="dxa" w:w="2800"/>
          </w:tcPr>
          <w:p>
            <w:pPr>
              <w:spacing w:after="0" w:line="259" w:lineRule="auto"/>
            </w:pPr>
            <w:r>
              <w:rPr>
                <w:color w:val="1F2937"/>
                <w:sz w:val="17"/>
              </w:rPr>
              <w:t>Is the program on pace economically?</w:t>
            </w:r>
          </w:p>
        </w:tc>
        <w:tc>
          <w:tcPr>
            <w:tcW w:type="dxa" w:w="3500"/>
          </w:tcPr>
          <w:p>
            <w:pPr>
              <w:spacing w:after="0" w:line="259" w:lineRule="auto"/>
            </w:pPr>
            <w:r>
              <w:rPr>
                <w:color w:val="1F2937"/>
                <w:sz w:val="17"/>
              </w:rPr>
              <w:t>Actual vs target SAOs and low/base/high value by month and acquisition type</w:t>
            </w:r>
          </w:p>
        </w:tc>
        <w:tc>
          <w:tcPr>
            <w:tcW w:type="dxa" w:w="1560"/>
          </w:tcPr>
          <w:p>
            <w:pPr>
              <w:spacing w:after="0" w:line="259" w:lineRule="auto"/>
            </w:pPr>
            <w:r>
              <w:rPr>
                <w:color w:val="1F2937"/>
                <w:sz w:val="17"/>
              </w:rPr>
              <w:t>Monthly / RevOps</w:t>
            </w:r>
          </w:p>
        </w:tc>
      </w:tr>
      <w:tr>
        <w:tc>
          <w:tcPr>
            <w:tcW w:type="dxa" w:w="1500"/>
          </w:tcPr>
          <w:p>
            <w:pPr>
              <w:spacing w:after="0" w:line="259" w:lineRule="auto"/>
            </w:pPr>
            <w:r>
              <w:rPr>
                <w:color w:val="1F2937"/>
                <w:sz w:val="17"/>
              </w:rPr>
              <w:t>Governance</w:t>
            </w:r>
          </w:p>
        </w:tc>
        <w:tc>
          <w:tcPr>
            <w:tcW w:type="dxa" w:w="2800"/>
          </w:tcPr>
          <w:p>
            <w:pPr>
              <w:spacing w:after="0" w:line="259" w:lineRule="auto"/>
            </w:pPr>
            <w:r>
              <w:rPr>
                <w:color w:val="1F2937"/>
                <w:sz w:val="17"/>
              </w:rPr>
              <w:t>Can teams trust and reuse the program?</w:t>
            </w:r>
          </w:p>
        </w:tc>
        <w:tc>
          <w:tcPr>
            <w:tcW w:type="dxa" w:w="3500"/>
          </w:tcPr>
          <w:p>
            <w:pPr>
              <w:spacing w:after="0" w:line="259" w:lineRule="auto"/>
            </w:pPr>
            <w:r>
              <w:rPr>
                <w:color w:val="1F2937"/>
                <w:sz w:val="17"/>
              </w:rPr>
              <w:t>Template adoption, source completeness, tracking, data quality and compliance</w:t>
            </w:r>
          </w:p>
        </w:tc>
        <w:tc>
          <w:tcPr>
            <w:tcW w:type="dxa" w:w="1560"/>
          </w:tcPr>
          <w:p>
            <w:pPr>
              <w:spacing w:after="0" w:line="259" w:lineRule="auto"/>
            </w:pPr>
            <w:r>
              <w:rPr>
                <w:color w:val="1F2937"/>
                <w:sz w:val="17"/>
              </w:rPr>
              <w:t>Monthly COE council</w:t>
            </w:r>
          </w:p>
        </w:tc>
      </w:tr>
    </w:tbl>
    <w:p>
      <w:pPr>
        <w:spacing w:after="20"/>
      </w:pPr>
    </w:p>
    <w:p>
      <w:pPr>
        <w:pStyle w:val="Heading2"/>
      </w:pPr>
      <w:r>
        <w:t>Optimization rules</w:t>
      </w:r>
    </w:p>
    <w:p>
      <w:pPr>
        <w:pStyle w:val="ListBullet"/>
        <w:spacing w:after="80"/>
      </w:pPr>
      <w:r>
        <w:t>Optimize one major variable at a time: audience, message, content order, CTA, channel, or seller action.</w:t>
      </w:r>
    </w:p>
    <w:p>
      <w:pPr>
        <w:pStyle w:val="ListBullet"/>
        <w:spacing w:after="80"/>
      </w:pPr>
      <w:r>
        <w:t>Prioritize account progression and opportunity outcomes over isolated CTR improvements.</w:t>
      </w:r>
    </w:p>
    <w:p>
      <w:pPr>
        <w:pStyle w:val="ListBullet"/>
        <w:spacing w:after="80"/>
      </w:pPr>
      <w:r>
        <w:t>Require sufficient sample size or label the result directional.</w:t>
      </w:r>
    </w:p>
    <w:p>
      <w:pPr>
        <w:pStyle w:val="ListBullet"/>
        <w:spacing w:after="80"/>
      </w:pPr>
      <w:r>
        <w:t>Review upgrade/downgrade criteria quarterly and after meaningful conversion changes.</w:t>
      </w:r>
    </w:p>
    <w:p>
      <w:pPr>
        <w:pStyle w:val="ListBullet"/>
        <w:spacing w:after="80"/>
      </w:pPr>
      <w:r>
        <w:t>Document every major assumption, owner, validation date, and replacement value.</w:t>
      </w:r>
    </w:p>
    <w:p>
      <w:r>
        <w:br w:type="page"/>
      </w:r>
    </w:p>
    <w:p>
      <w:pPr>
        <w:pStyle w:val="Heading1"/>
      </w:pPr>
      <w:r>
        <w:t>13. Crawl-Walk-Run implementation roadmap</w:t>
      </w:r>
    </w:p>
    <w:tbl>
      <w:tblPr>
        <w:tblStyle w:val="TableGrid"/>
        <w:tblW w:type="dxa" w:w="9360"/>
        <w:jc w:val="left"/>
        <w:tblLayout w:type="fixed"/>
        <w:tblLook w:firstColumn="1" w:firstRow="1" w:lastColumn="0" w:lastRow="0" w:noHBand="0" w:noVBand="1" w:val="04A0"/>
        <w:tblInd w:w="120" w:type="dxa"/>
      </w:tblPr>
      <w:tblGrid>
        <w:gridCol w:w="1400"/>
        <w:gridCol w:w="1500"/>
        <w:gridCol w:w="3800"/>
        <w:gridCol w:w="2660"/>
      </w:tblGrid>
      <w:tr>
        <w:trPr>
          <w:tblHeader w:val="true"/>
        </w:trPr>
        <w:tc>
          <w:tcPr>
            <w:tcW w:type="dxa" w:w="1400"/>
            <w:vAlign w:val="center"/>
            <w:tcMar>
              <w:top w:w="90" w:type="dxa"/>
              <w:start w:w="120" w:type="dxa"/>
              <w:bottom w:w="90" w:type="dxa"/>
              <w:end w:w="120" w:type="dxa"/>
            </w:tcMar>
            <w:shd w:fill="E8EEF5"/>
          </w:tcPr>
          <w:p>
            <w:pPr>
              <w:spacing w:after="0"/>
            </w:pPr>
            <w:r>
              <w:rPr>
                <w:b/>
                <w:color w:val="17365D"/>
                <w:sz w:val="18"/>
              </w:rPr>
              <w:t>Phase</w:t>
            </w:r>
          </w:p>
        </w:tc>
        <w:tc>
          <w:tcPr>
            <w:tcW w:type="dxa" w:w="1500"/>
            <w:vAlign w:val="center"/>
            <w:tcMar>
              <w:top w:w="90" w:type="dxa"/>
              <w:start w:w="120" w:type="dxa"/>
              <w:bottom w:w="90" w:type="dxa"/>
              <w:end w:w="120" w:type="dxa"/>
            </w:tcMar>
            <w:shd w:fill="E8EEF5"/>
          </w:tcPr>
          <w:p>
            <w:pPr>
              <w:spacing w:after="0"/>
            </w:pPr>
            <w:r>
              <w:rPr>
                <w:b/>
                <w:color w:val="17365D"/>
                <w:sz w:val="18"/>
              </w:rPr>
              <w:t>Timing</w:t>
            </w:r>
          </w:p>
        </w:tc>
        <w:tc>
          <w:tcPr>
            <w:tcW w:type="dxa" w:w="3800"/>
            <w:vAlign w:val="center"/>
            <w:tcMar>
              <w:top w:w="90" w:type="dxa"/>
              <w:start w:w="120" w:type="dxa"/>
              <w:bottom w:w="90" w:type="dxa"/>
              <w:end w:w="120" w:type="dxa"/>
            </w:tcMar>
            <w:shd w:fill="E8EEF5"/>
          </w:tcPr>
          <w:p>
            <w:pPr>
              <w:spacing w:after="0"/>
            </w:pPr>
            <w:r>
              <w:rPr>
                <w:b/>
                <w:color w:val="17365D"/>
                <w:sz w:val="18"/>
              </w:rPr>
              <w:t>Objective</w:t>
            </w:r>
          </w:p>
        </w:tc>
        <w:tc>
          <w:tcPr>
            <w:tcW w:type="dxa" w:w="2660"/>
            <w:vAlign w:val="center"/>
            <w:tcMar>
              <w:top w:w="90" w:type="dxa"/>
              <w:start w:w="120" w:type="dxa"/>
              <w:bottom w:w="90" w:type="dxa"/>
              <w:end w:w="120" w:type="dxa"/>
            </w:tcMar>
            <w:shd w:fill="E8EEF5"/>
          </w:tcPr>
          <w:p>
            <w:pPr>
              <w:spacing w:after="0"/>
            </w:pPr>
            <w:r>
              <w:rPr>
                <w:b/>
                <w:color w:val="17365D"/>
                <w:sz w:val="18"/>
              </w:rPr>
              <w:t>Exit gate</w:t>
            </w:r>
          </w:p>
        </w:tc>
      </w:tr>
      <w:tr>
        <w:tc>
          <w:tcPr>
            <w:tcW w:type="dxa" w:w="1400"/>
          </w:tcPr>
          <w:p>
            <w:pPr>
              <w:spacing w:after="0" w:line="259" w:lineRule="auto"/>
            </w:pPr>
            <w:r>
              <w:rPr>
                <w:color w:val="1F2937"/>
                <w:sz w:val="18"/>
              </w:rPr>
              <w:t>Crawl</w:t>
            </w:r>
          </w:p>
        </w:tc>
        <w:tc>
          <w:tcPr>
            <w:tcW w:type="dxa" w:w="1500"/>
          </w:tcPr>
          <w:p>
            <w:pPr>
              <w:spacing w:after="0" w:line="259" w:lineRule="auto"/>
            </w:pPr>
            <w:r>
              <w:rPr>
                <w:color w:val="1F2937"/>
                <w:sz w:val="18"/>
              </w:rPr>
              <w:t>Months 0–3</w:t>
            </w:r>
          </w:p>
        </w:tc>
        <w:tc>
          <w:tcPr>
            <w:tcW w:type="dxa" w:w="3800"/>
          </w:tcPr>
          <w:p>
            <w:pPr>
              <w:spacing w:after="0" w:line="259" w:lineRule="auto"/>
            </w:pPr>
            <w:r>
              <w:rPr>
                <w:color w:val="1F2937"/>
                <w:sz w:val="18"/>
              </w:rPr>
              <w:t>Create the data, audience, experience, sequence and dashboard foundation.</w:t>
            </w:r>
          </w:p>
        </w:tc>
        <w:tc>
          <w:tcPr>
            <w:tcW w:type="dxa" w:w="2660"/>
          </w:tcPr>
          <w:p>
            <w:pPr>
              <w:spacing w:after="0" w:line="259" w:lineRule="auto"/>
            </w:pPr>
            <w:r>
              <w:rPr>
                <w:color w:val="1F2937"/>
                <w:sz w:val="18"/>
              </w:rPr>
              <w:t>First [CRAWL_SAO_TARGET] SAOs; end-to-end signal test passes</w:t>
            </w:r>
          </w:p>
        </w:tc>
      </w:tr>
      <w:tr>
        <w:tc>
          <w:tcPr>
            <w:tcW w:type="dxa" w:w="1400"/>
          </w:tcPr>
          <w:p>
            <w:pPr>
              <w:spacing w:after="0" w:line="259" w:lineRule="auto"/>
            </w:pPr>
            <w:r>
              <w:rPr>
                <w:color w:val="1F2937"/>
                <w:sz w:val="18"/>
              </w:rPr>
              <w:t>Walk</w:t>
            </w:r>
          </w:p>
        </w:tc>
        <w:tc>
          <w:tcPr>
            <w:tcW w:type="dxa" w:w="1500"/>
          </w:tcPr>
          <w:p>
            <w:pPr>
              <w:spacing w:after="0" w:line="259" w:lineRule="auto"/>
            </w:pPr>
            <w:r>
              <w:rPr>
                <w:color w:val="1F2937"/>
                <w:sz w:val="18"/>
              </w:rPr>
              <w:t>Months 3–6</w:t>
            </w:r>
          </w:p>
        </w:tc>
        <w:tc>
          <w:tcPr>
            <w:tcW w:type="dxa" w:w="3800"/>
          </w:tcPr>
          <w:p>
            <w:pPr>
              <w:spacing w:after="0" w:line="259" w:lineRule="auto"/>
            </w:pPr>
            <w:r>
              <w:rPr>
                <w:color w:val="1F2937"/>
                <w:sz w:val="18"/>
              </w:rPr>
              <w:t>Launch rotating cohorts, persona paths, events, contextual BDR action and first surge rooms.</w:t>
            </w:r>
          </w:p>
        </w:tc>
        <w:tc>
          <w:tcPr>
            <w:tcW w:type="dxa" w:w="2660"/>
          </w:tcPr>
          <w:p>
            <w:pPr>
              <w:spacing w:after="0" w:line="259" w:lineRule="auto"/>
            </w:pPr>
            <w:r>
              <w:rPr>
                <w:color w:val="1F2937"/>
                <w:sz w:val="18"/>
              </w:rPr>
              <w:t>[WALK_ADDITIONAL_SAOS] additional SAOs; repeatable cohort conversion</w:t>
            </w:r>
          </w:p>
        </w:tc>
      </w:tr>
      <w:tr>
        <w:tc>
          <w:tcPr>
            <w:tcW w:type="dxa" w:w="1400"/>
          </w:tcPr>
          <w:p>
            <w:pPr>
              <w:spacing w:after="0" w:line="259" w:lineRule="auto"/>
            </w:pPr>
            <w:r>
              <w:rPr>
                <w:color w:val="1F2937"/>
                <w:sz w:val="18"/>
              </w:rPr>
              <w:t>Run</w:t>
            </w:r>
          </w:p>
        </w:tc>
        <w:tc>
          <w:tcPr>
            <w:tcW w:type="dxa" w:w="1500"/>
          </w:tcPr>
          <w:p>
            <w:pPr>
              <w:spacing w:after="0" w:line="259" w:lineRule="auto"/>
            </w:pPr>
            <w:r>
              <w:rPr>
                <w:color w:val="1F2937"/>
                <w:sz w:val="18"/>
              </w:rPr>
              <w:t>Months 6–12</w:t>
            </w:r>
          </w:p>
        </w:tc>
        <w:tc>
          <w:tcPr>
            <w:tcW w:type="dxa" w:w="3800"/>
          </w:tcPr>
          <w:p>
            <w:pPr>
              <w:spacing w:after="0" w:line="259" w:lineRule="auto"/>
            </w:pPr>
            <w:r>
              <w:rPr>
                <w:color w:val="1F2937"/>
                <w:sz w:val="18"/>
              </w:rPr>
              <w:t>Scale globally, localize within guardrails, operate surge rooms and support all SAOs with digital sales rooms.</w:t>
            </w:r>
          </w:p>
        </w:tc>
        <w:tc>
          <w:tcPr>
            <w:tcW w:type="dxa" w:w="2660"/>
          </w:tcPr>
          <w:p>
            <w:pPr>
              <w:spacing w:after="0" w:line="259" w:lineRule="auto"/>
            </w:pPr>
            <w:r>
              <w:rPr>
                <w:color w:val="1F2937"/>
                <w:sz w:val="18"/>
              </w:rPr>
              <w:t>[RUN_ADDITIONAL_SAOS] additional SAOs; [OPPORTUNITY_TARGET] total</w:t>
            </w:r>
          </w:p>
        </w:tc>
      </w:tr>
    </w:tbl>
    <w:p>
      <w:pPr>
        <w:spacing w:after="20"/>
      </w:pPr>
    </w:p>
    <w:p>
      <w:pPr>
        <w:pStyle w:val="Heading2"/>
      </w:pPr>
      <w:r>
        <w:t>First 30 days</w:t>
      </w:r>
    </w:p>
    <w:p>
      <w:pPr>
        <w:pStyle w:val="ListBullet"/>
        <w:spacing w:after="80"/>
      </w:pPr>
      <w:r>
        <w:t>Confirm target account list, acquisition type, ownership, regions, verticals, personas, suppressions, and feasibility fields.</w:t>
      </w:r>
    </w:p>
    <w:p>
      <w:pPr>
        <w:pStyle w:val="ListBullet"/>
        <w:spacing w:after="80"/>
      </w:pPr>
      <w:r>
        <w:t>Complete source inventory, content tagging, CRM/data audit, and technology-role mapping.</w:t>
      </w:r>
    </w:p>
    <w:p>
      <w:pPr>
        <w:pStyle w:val="ListBullet"/>
        <w:spacing w:after="80"/>
      </w:pPr>
      <w:r>
        <w:t>Define stages, qualification, opportunity acceptance, funnel math, commercial assumptions, and monthly pacing.</w:t>
      </w:r>
    </w:p>
    <w:p>
      <w:pPr>
        <w:pStyle w:val="ListBullet"/>
        <w:spacing w:after="80"/>
      </w:pPr>
      <w:r>
        <w:t>Approve program thesis, sales plays, master Folloze experience, first audience, and measurement baseline.</w:t>
      </w:r>
    </w:p>
    <w:p>
      <w:pPr>
        <w:pStyle w:val="Heading2"/>
      </w:pPr>
      <w:r>
        <w:t>Days 31–60</w:t>
      </w:r>
    </w:p>
    <w:p>
      <w:pPr>
        <w:pStyle w:val="ListBullet"/>
        <w:spacing w:after="80"/>
      </w:pPr>
      <w:r>
        <w:t>Launch the 1:many foundation and first persona/region/use-case cohorts.</w:t>
      </w:r>
    </w:p>
    <w:p>
      <w:pPr>
        <w:pStyle w:val="ListBullet"/>
        <w:spacing w:after="80"/>
      </w:pPr>
      <w:r>
        <w:t>Activate MAP, paid media, BDR enablement, event plan, AEO/GEO support, and dashboard.</w:t>
      </w:r>
    </w:p>
    <w:p>
      <w:pPr>
        <w:pStyle w:val="ListBullet"/>
        <w:spacing w:after="80"/>
      </w:pPr>
      <w:r>
        <w:t>Build proof taxonomy, specialist paths, net-new sequence, and champion-forwardable expansion experience.</w:t>
      </w:r>
    </w:p>
    <w:p>
      <w:pPr>
        <w:pStyle w:val="ListBullet"/>
        <w:spacing w:after="80"/>
      </w:pPr>
      <w:r>
        <w:t>Test the combined signal payload and twenty-four-hour surge workflow.</w:t>
      </w:r>
    </w:p>
    <w:p>
      <w:pPr>
        <w:pStyle w:val="Heading2"/>
      </w:pPr>
      <w:r>
        <w:t>Days 61–90</w:t>
      </w:r>
    </w:p>
    <w:p>
      <w:pPr>
        <w:pStyle w:val="ListBullet"/>
        <w:spacing w:after="80"/>
      </w:pPr>
      <w:r>
        <w:t>Upgrade the first qualified accounts into 1:1 surge rooms.</w:t>
      </w:r>
    </w:p>
    <w:p>
      <w:pPr>
        <w:pStyle w:val="ListBullet"/>
        <w:spacing w:after="80"/>
      </w:pPr>
      <w:r>
        <w:t>Run the first architecture, executive, peer, or specialist event motion.</w:t>
      </w:r>
    </w:p>
    <w:p>
      <w:pPr>
        <w:pStyle w:val="ListBullet"/>
        <w:spacing w:after="80"/>
      </w:pPr>
      <w:r>
        <w:t>Measure account progression, seller action, commercial pace, content performance, and data quality.</w:t>
      </w:r>
    </w:p>
    <w:p>
      <w:pPr>
        <w:pStyle w:val="ListBullet"/>
        <w:spacing w:after="80"/>
      </w:pPr>
      <w:r>
        <w:t>Adjust cohort selection, rules, content, sequence, and value assumptions before scaling.</w:t>
      </w:r>
    </w:p>
    <w:p>
      <w:r>
        <w:br w:type="page"/>
      </w:r>
    </w:p>
    <w:p>
      <w:pPr>
        <w:pStyle w:val="Heading1"/>
      </w:pPr>
      <w:r>
        <w:t>14. Final delivery and QA checklist</w:t>
      </w:r>
    </w:p>
    <w:p>
      <w:pPr>
        <w:pStyle w:val="ListBullet"/>
        <w:spacing w:after="80"/>
      </w:pPr>
      <w:r>
        <w:t>☐ All folder placeholders have been replaced or intentionally marked as missing inputs.</w:t>
      </w:r>
    </w:p>
    <w:p>
      <w:pPr>
        <w:pStyle w:val="ListBullet"/>
        <w:spacing w:after="80"/>
      </w:pPr>
      <w:r>
        <w:t>☐ The copied Academy Blueprint is completed with customer-specific evidence.</w:t>
      </w:r>
    </w:p>
    <w:p>
      <w:pPr>
        <w:pStyle w:val="ListBullet"/>
        <w:spacing w:after="80"/>
      </w:pPr>
      <w:r>
        <w:t>☐ The segment, account count, acquisition mix, opportunity goal and value assumptions are explicit.</w:t>
      </w:r>
    </w:p>
    <w:p>
      <w:pPr>
        <w:pStyle w:val="ListBullet"/>
        <w:spacing w:after="80"/>
      </w:pPr>
      <w:r>
        <w:t>☐ Net-new and expansion motions are distinguishable in audience, messaging, routing and reporting.</w:t>
      </w:r>
    </w:p>
    <w:p>
      <w:pPr>
        <w:pStyle w:val="ListBullet"/>
        <w:spacing w:after="80"/>
      </w:pPr>
      <w:r>
        <w:t>☐ The technology model reflects the customer's installed systems and owners.</w:t>
      </w:r>
    </w:p>
    <w:p>
      <w:pPr>
        <w:pStyle w:val="ListBullet"/>
        <w:spacing w:after="80"/>
      </w:pPr>
      <w:r>
        <w:t>☐ Every campaign has an audience, message, content path, Folloze destination, CTA, signal rule and owner.</w:t>
      </w:r>
    </w:p>
    <w:p>
      <w:pPr>
        <w:pStyle w:val="ListBullet"/>
        <w:spacing w:after="80"/>
      </w:pPr>
      <w:r>
        <w:t>☐ Upgrade, downgrade, suppression, recycle and twenty-four-hour surge rules are documented.</w:t>
      </w:r>
    </w:p>
    <w:p>
      <w:pPr>
        <w:pStyle w:val="ListBullet"/>
        <w:spacing w:after="80"/>
      </w:pPr>
      <w:r>
        <w:t>☐ The calendar includes monthly opportunity pacing and low/base/high value.</w:t>
      </w:r>
    </w:p>
    <w:p>
      <w:pPr>
        <w:pStyle w:val="ListBullet"/>
        <w:spacing w:after="80"/>
      </w:pPr>
      <w:r>
        <w:t>☐ At least one BDR sequence and one MAP nurture are fully written, tested and approved.</w:t>
      </w:r>
    </w:p>
    <w:p>
      <w:pPr>
        <w:pStyle w:val="ListBullet"/>
        <w:spacing w:after="80"/>
      </w:pPr>
      <w:r>
        <w:t>☐ AEO/GEO, community, events, partner and field activities are integrated only where they support the account program.</w:t>
      </w:r>
    </w:p>
    <w:p>
      <w:pPr>
        <w:pStyle w:val="ListBullet"/>
        <w:spacing w:after="80"/>
      </w:pPr>
      <w:r>
        <w:t>☐ Capacity, geography, density, timing and delivery feasibility are checked before opportunity acceptance.</w:t>
      </w:r>
    </w:p>
    <w:p>
      <w:pPr>
        <w:pStyle w:val="ListBullet"/>
        <w:spacing w:after="80"/>
      </w:pPr>
      <w:r>
        <w:t>☐ Claims, proof and external statistics are traceable to approved sources.</w:t>
      </w:r>
    </w:p>
    <w:p>
      <w:pPr>
        <w:pStyle w:val="ListBullet"/>
        <w:spacing w:after="80"/>
      </w:pPr>
      <w:r>
        <w:t>☐ Intent-only outreach and surveillance language are prohibited.</w:t>
      </w:r>
    </w:p>
    <w:p>
      <w:pPr>
        <w:pStyle w:val="ListBullet"/>
        <w:spacing w:after="80"/>
      </w:pPr>
      <w:r>
        <w:t>☐ The dashboard shows account progression, buying-group depth, SAOs, value, SLAs and data quality.</w:t>
      </w:r>
    </w:p>
    <w:p>
      <w:pPr>
        <w:pStyle w:val="ListBullet"/>
        <w:spacing w:after="80"/>
      </w:pPr>
      <w:r>
        <w:t>☐ Executive sponsor, program owner, regional owners and platform owners have accepted the operating cadence.</w:t>
      </w:r>
    </w:p>
    <w:p>
      <w:pPr>
        <w:pStyle w:val="Heading2"/>
      </w:pPr>
      <w:r>
        <w:t>Handoff package</w:t>
      </w:r>
    </w:p>
    <w:p>
      <w:pPr>
        <w:pStyle w:val="ListBullet"/>
        <w:spacing w:after="80"/>
      </w:pPr>
      <w:r>
        <w:t>[FINAL_ABX_WORKBOOK_URL]</w:t>
      </w:r>
    </w:p>
    <w:p>
      <w:pPr>
        <w:pStyle w:val="ListBullet"/>
        <w:spacing w:after="80"/>
      </w:pPr>
      <w:r>
        <w:t>[FINAL_WALKTHROUGH_DOCUMENT_URL]</w:t>
      </w:r>
    </w:p>
    <w:p>
      <w:pPr>
        <w:pStyle w:val="ListBullet"/>
        <w:spacing w:after="80"/>
      </w:pPr>
      <w:r>
        <w:t>[APPROVED_SOURCE_LOG_URL]</w:t>
      </w:r>
    </w:p>
    <w:p>
      <w:pPr>
        <w:pStyle w:val="ListBullet"/>
        <w:spacing w:after="80"/>
      </w:pPr>
      <w:r>
        <w:t>[BOARD_AND_PROMPT_LIBRARY_URL]</w:t>
      </w:r>
    </w:p>
    <w:p>
      <w:pPr>
        <w:pStyle w:val="ListBullet"/>
        <w:spacing w:after="80"/>
      </w:pPr>
      <w:r>
        <w:t>[DASHBOARD_URL]</w:t>
      </w:r>
    </w:p>
    <w:p>
      <w:pPr>
        <w:pStyle w:val="ListBullet"/>
        <w:spacing w:after="80"/>
      </w:pPr>
      <w:r>
        <w:t>[LAUNCH_CHECKLIST_AND_RACI_URL]</w:t>
      </w:r>
    </w:p>
    <w:p>
      <w:pPr>
        <w:spacing w:before="80" w:after="140"/>
        <w:ind w:left="115" w:right="115"/>
        <w:shd w:fill="F2F4F7"/>
        <w:pBdr>
          <w:top w:val="single" w:sz="6" w:color="D7E3F0"/>
          <w:start w:val="single" w:sz="6" w:color="D7E3F0"/>
          <w:bottom w:val="single" w:sz="6" w:color="D7E3F0"/>
          <w:end w:val="single" w:sz="6" w:color="D7E3F0"/>
        </w:pBdr>
      </w:pPr>
      <w:r>
        <w:rPr>
          <w:b/>
          <w:color w:val="17365D"/>
        </w:rPr>
        <w:t xml:space="preserve">Final caution: </w:t>
      </w:r>
      <w:r>
        <w:rPr>
          <w:color w:val="1F2937"/>
        </w:rPr>
        <w:t>Before sharing externally, remove internal-only notes, validate every claim and planning value, confirm permissions on all linked folders, and run a final test of every experience, CTA, form, alert, suppression, and seller handoff.</w:t>
      </w:r>
    </w:p>
    <w:sectPr w:rsidR="00FC693F" w:rsidRPr="0006063C" w:rsidSect="00034616">
      <w:headerReference w:type="default" r:id="rId9"/>
      <w:footerReference w:type="default" r:id="rId10"/>
      <w:pgSz w:w="12240" w:h="15840"/>
      <w:pgMar w:top="1080"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7"/>
      </w:rPr>
      <w:t>Reusable ABX Program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Build a Customer-Specific 12-Month ABX Program</dc:title>
  <dc:subject>Reusable customer-neutral ABX program replication walkthrough</dc:subject>
  <dc:creator>Folloze</dc:creator>
  <cp:keywords>ABX, ABM, Folloze, blueprint, campaign, buyer experience, account intelligence</cp:keywords>
  <dc:description>generated by python-docx</dc:description>
  <cp:lastModifiedBy/>
  <cp:revision>1</cp:revision>
  <dcterms:created xsi:type="dcterms:W3CDTF">2013-12-23T23:15:00Z</dcterms:created>
  <dcterms:modified xsi:type="dcterms:W3CDTF">2013-12-23T23:15:00Z</dcterms:modified>
  <cp:category/>
</cp:coreProperties>
</file>