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后台登录</w:t>
      </w:r>
    </w:p>
    <w:p>
      <w:pPr>
        <w:spacing w:after="120"/>
      </w:pPr>
      <w:r>
        <w:rPr>
          <w:color w:val="666666"/>
          <w:sz w:val="18"/>
        </w:rPr>
        <w:t>公共 / 公共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页面中央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DexWallet 标识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商户后台 / 平台管理后台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登录表单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账户：________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密码：________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【显示密码】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验证码：________（需要时）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错误或会话过期提示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表单下方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【登录】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【验证并继续】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【无法登录】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后台登录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