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扫码与订单查找</w:t>
      </w:r>
    </w:p>
    <w:p>
      <w:pPr>
        <w:spacing w:after="120"/>
      </w:pPr>
      <w:r>
        <w:rPr>
          <w:color w:val="666666"/>
          <w:sz w:val="18"/>
        </w:rPr>
        <w:t>用户端 / 支付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扫一扫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【补光】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中央取景框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br/>
              <w:t>相机取景区域</w:t>
              <w:br/>
              <w:br/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取景框下方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识别提示 / 错误提示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【相册】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【输入订单号】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【重新扫描】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扫码与订单查找 · 订单号输入弹窗</w:t>
      </w:r>
    </w:p>
    <w:p>
      <w:pPr>
        <w:spacing w:after="120"/>
      </w:pPr>
      <w:r>
        <w:rPr>
          <w:color w:val="666666"/>
          <w:sz w:val="18"/>
        </w:rPr>
        <w:t>弹窗内容同样可直接修改。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标题栏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输入订单号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【关闭】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输入区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订单号：________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查询错误提示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【取消】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【查询】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扫码与订单查找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