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水果机</w:t>
      </w:r>
    </w:p>
    <w:p>
      <w:pPr>
        <w:spacing w:after="120"/>
      </w:pPr>
      <w:r>
        <w:rPr>
          <w:color w:val="666666"/>
          <w:sz w:val="18"/>
        </w:rPr>
        <w:t>用户端 / 任务　　【文字】表示按钮；其余为展示或输入区域。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顶部</w:t>
            </w:r>
          </w:p>
        </w:tc>
      </w:tr>
      <w:tr>
        <w:trPr>
          <w:cantSplit/>
        </w:trPr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【返回】</w:t>
            </w:r>
          </w:p>
        </w:tc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水果机</w:t>
            </w:r>
          </w:p>
        </w:tc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【规则】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余额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可用积分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待提现奖励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中央图案</w:t>
            </w:r>
          </w:p>
        </w:tc>
      </w:tr>
      <w:tr>
        <w:trPr>
          <w:cantSplit/>
        </w:trPr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图案 1</w:t>
            </w:r>
          </w:p>
        </w:tc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图案 2</w:t>
            </w:r>
          </w:p>
        </w:tc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图案 3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主要操作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【100 积分转一次】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本次奖励展示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下方记录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最近个人结果 / 现金奖励 / 时间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【查看记录】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【奖励提现】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br w:type="page"/>
      </w:r>
    </w:p>
    <w:p>
      <w:pPr>
        <w:pStyle w:val="Heading1"/>
      </w:pPr>
      <w:r>
        <w:t>水果机 · 奖励结果弹窗</w:t>
      </w:r>
    </w:p>
    <w:p>
      <w:pPr>
        <w:spacing w:after="120"/>
      </w:pPr>
      <w:r>
        <w:rPr>
          <w:color w:val="666666"/>
          <w:sz w:val="18"/>
        </w:rPr>
        <w:t>弹窗内容同样可直接修改。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标题栏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本次奖励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现金奖励金额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到账位置：待提现奖励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底部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【查看记录】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【完成】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sectPr w:rsidR="00FC693F" w:rsidRPr="0006063C" w:rsidSect="00034616">
      <w:footerReference w:type="default" r:id="rId9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水果机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