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8E3F0" w14:textId="236C418F" w:rsidR="00622694" w:rsidRDefault="00970428" w:rsidP="00970428">
      <w:pPr>
        <w:jc w:val="center"/>
        <w:rPr>
          <w:rFonts w:ascii="Segoe UI" w:hAnsi="Segoe UI" w:cs="Segoe UI"/>
          <w:color w:val="172B4D"/>
          <w:spacing w:val="-4"/>
          <w:sz w:val="36"/>
          <w:szCs w:val="36"/>
          <w:shd w:val="clear" w:color="auto" w:fill="FFFFFF"/>
        </w:rPr>
      </w:pPr>
      <w:r>
        <w:rPr>
          <w:rFonts w:ascii="Segoe UI" w:hAnsi="Segoe UI" w:cs="Segoe UI"/>
          <w:color w:val="172B4D"/>
          <w:spacing w:val="-4"/>
          <w:sz w:val="36"/>
          <w:szCs w:val="36"/>
          <w:shd w:val="clear" w:color="auto" w:fill="FFFFFF"/>
        </w:rPr>
        <w:t>Limit Onboarding for MBAM secondary VTD</w:t>
      </w:r>
    </w:p>
    <w:p w14:paraId="46DA59ED" w14:textId="021EDCCB" w:rsidR="00970428" w:rsidRDefault="00970428" w:rsidP="00970428">
      <w:pPr>
        <w:jc w:val="center"/>
      </w:pPr>
      <w:hyperlink r:id="rId5" w:history="1">
        <w:r>
          <w:rPr>
            <w:rStyle w:val="Hyperlink"/>
          </w:rPr>
          <w:t>[FICCRISK-32258] Limit Onboarding for MBAM secondary VTD - Horizon/Jira2</w:t>
        </w:r>
      </w:hyperlink>
    </w:p>
    <w:p w14:paraId="47EBA717" w14:textId="77777777" w:rsidR="00970428" w:rsidRDefault="00970428"/>
    <w:p w14:paraId="4F9C0E39" w14:textId="77777777" w:rsidR="00970428" w:rsidRDefault="00970428" w:rsidP="00970428">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Scenario: Breach and No breach alerts for new Limit code for MBAM SECONDARY VTD should be generated successfully.</w:t>
      </w:r>
    </w:p>
    <w:p w14:paraId="30DA8869" w14:textId="77777777" w:rsidR="00970428" w:rsidRDefault="00970428" w:rsidP="00970428">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Given:</w:t>
      </w:r>
      <w:r>
        <w:rPr>
          <w:rFonts w:ascii="Segoe UI" w:hAnsi="Segoe UI" w:cs="Segoe UI"/>
          <w:color w:val="172B4D"/>
          <w:sz w:val="21"/>
          <w:szCs w:val="21"/>
        </w:rPr>
        <w:br/>
        <w:t>Exposures in brisk for : MBAM SECONDARY</w:t>
      </w:r>
    </w:p>
    <w:p w14:paraId="4AAFE69B" w14:textId="77777777" w:rsidR="00970428" w:rsidRDefault="00970428" w:rsidP="00970428">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Creation of new Limit code in LMS</w:t>
      </w:r>
    </w:p>
    <w:p w14:paraId="592EA691" w14:textId="77777777" w:rsidR="00970428" w:rsidRDefault="00970428" w:rsidP="00970428">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When:</w:t>
      </w:r>
      <w:r>
        <w:rPr>
          <w:rFonts w:ascii="Segoe UI" w:hAnsi="Segoe UI" w:cs="Segoe UI"/>
          <w:color w:val="172B4D"/>
          <w:sz w:val="21"/>
          <w:szCs w:val="21"/>
        </w:rPr>
        <w:br/>
        <w:t>Run the respective VTD CFTC breach calc job in uat</w:t>
      </w:r>
    </w:p>
    <w:p w14:paraId="6DB8F5D8" w14:textId="77777777" w:rsidR="00970428" w:rsidRDefault="00970428" w:rsidP="00970428">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Then:</w:t>
      </w:r>
      <w:r>
        <w:rPr>
          <w:rFonts w:ascii="Segoe UI" w:hAnsi="Segoe UI" w:cs="Segoe UI"/>
          <w:color w:val="172B4D"/>
          <w:sz w:val="21"/>
          <w:szCs w:val="21"/>
        </w:rPr>
        <w:br/>
        <w:t>1. Breach and No Breach email must be generated successfully .</w:t>
      </w:r>
      <w:r>
        <w:rPr>
          <w:rFonts w:ascii="Segoe UI" w:hAnsi="Segoe UI" w:cs="Segoe UI"/>
          <w:color w:val="172B4D"/>
          <w:sz w:val="21"/>
          <w:szCs w:val="21"/>
        </w:rPr>
        <w:br/>
        <w:t>2. Brisk report and exposures in email should match</w:t>
      </w:r>
      <w:r>
        <w:rPr>
          <w:rFonts w:ascii="Segoe UI" w:hAnsi="Segoe UI" w:cs="Segoe UI"/>
          <w:color w:val="172B4D"/>
          <w:sz w:val="21"/>
          <w:szCs w:val="21"/>
        </w:rPr>
        <w:br/>
        <w:t>3. workflow should work successfully</w:t>
      </w:r>
      <w:r>
        <w:rPr>
          <w:rFonts w:ascii="Segoe UI" w:hAnsi="Segoe UI" w:cs="Segoe UI"/>
          <w:color w:val="172B4D"/>
          <w:sz w:val="21"/>
          <w:szCs w:val="21"/>
        </w:rPr>
        <w:br/>
        <w:t>4. End of day reports , control reports, monthly reports should work successfully</w:t>
      </w:r>
    </w:p>
    <w:p w14:paraId="66626D4B" w14:textId="77777777" w:rsidR="00970428" w:rsidRDefault="00970428"/>
    <w:p w14:paraId="38044589" w14:textId="03B09F3B" w:rsidR="00970428" w:rsidRDefault="00970428">
      <w:pPr>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Creation/Validation of new Limit code created in LMS and exposure numbers in brisk reports with measure name and filter provided by LOB. Follow up with LOB for the measure details and create a brisk report</w:t>
      </w:r>
    </w:p>
    <w:p w14:paraId="121B6379" w14:textId="77777777" w:rsidR="00970428" w:rsidRDefault="00970428">
      <w:pPr>
        <w:rPr>
          <w:rFonts w:ascii="Segoe UI" w:hAnsi="Segoe UI" w:cs="Segoe UI"/>
          <w:color w:val="172B4D"/>
          <w:sz w:val="21"/>
          <w:szCs w:val="21"/>
          <w:shd w:val="clear" w:color="auto" w:fill="FFFFFF"/>
        </w:rPr>
      </w:pPr>
    </w:p>
    <w:p w14:paraId="56780522" w14:textId="77777777" w:rsidR="00970428" w:rsidRDefault="00970428">
      <w:pPr>
        <w:rPr>
          <w:rFonts w:ascii="Segoe UI" w:hAnsi="Segoe UI" w:cs="Segoe UI"/>
          <w:color w:val="172B4D"/>
          <w:sz w:val="21"/>
          <w:szCs w:val="21"/>
          <w:shd w:val="clear" w:color="auto" w:fill="FFFFFF"/>
        </w:rPr>
      </w:pPr>
    </w:p>
    <w:p w14:paraId="553E42CD" w14:textId="77777777" w:rsidR="00970428" w:rsidRDefault="00970428">
      <w:pPr>
        <w:rPr>
          <w:rFonts w:ascii="Segoe UI" w:hAnsi="Segoe UI" w:cs="Segoe UI"/>
          <w:color w:val="172B4D"/>
          <w:sz w:val="21"/>
          <w:szCs w:val="21"/>
          <w:shd w:val="clear" w:color="auto" w:fill="FFFFFF"/>
        </w:rPr>
      </w:pPr>
    </w:p>
    <w:p w14:paraId="13C1AFE9" w14:textId="77777777" w:rsidR="00970428" w:rsidRDefault="00970428">
      <w:pPr>
        <w:rPr>
          <w:rFonts w:ascii="Segoe UI" w:hAnsi="Segoe UI" w:cs="Segoe UI"/>
          <w:color w:val="172B4D"/>
          <w:sz w:val="21"/>
          <w:szCs w:val="21"/>
          <w:shd w:val="clear" w:color="auto" w:fill="FFFFFF"/>
        </w:rPr>
      </w:pPr>
    </w:p>
    <w:p w14:paraId="20BAF10E" w14:textId="77777777" w:rsidR="00970428" w:rsidRDefault="00970428">
      <w:pPr>
        <w:rPr>
          <w:rFonts w:ascii="Segoe UI" w:hAnsi="Segoe UI" w:cs="Segoe UI"/>
          <w:color w:val="172B4D"/>
          <w:sz w:val="21"/>
          <w:szCs w:val="21"/>
          <w:shd w:val="clear" w:color="auto" w:fill="FFFFFF"/>
        </w:rPr>
      </w:pPr>
    </w:p>
    <w:p w14:paraId="293F26D0" w14:textId="77777777" w:rsidR="00970428" w:rsidRDefault="00970428">
      <w:pPr>
        <w:rPr>
          <w:rFonts w:ascii="Segoe UI" w:hAnsi="Segoe UI" w:cs="Segoe UI"/>
          <w:color w:val="172B4D"/>
          <w:sz w:val="21"/>
          <w:szCs w:val="21"/>
          <w:shd w:val="clear" w:color="auto" w:fill="FFFFFF"/>
        </w:rPr>
      </w:pPr>
    </w:p>
    <w:p w14:paraId="5A0E5B0B" w14:textId="77777777" w:rsidR="00970428" w:rsidRDefault="00970428">
      <w:pPr>
        <w:rPr>
          <w:rFonts w:ascii="Segoe UI" w:hAnsi="Segoe UI" w:cs="Segoe UI"/>
          <w:color w:val="172B4D"/>
          <w:sz w:val="21"/>
          <w:szCs w:val="21"/>
          <w:shd w:val="clear" w:color="auto" w:fill="FFFFFF"/>
        </w:rPr>
      </w:pPr>
    </w:p>
    <w:p w14:paraId="4B8B64B9" w14:textId="77777777" w:rsidR="00970428" w:rsidRDefault="00970428">
      <w:pPr>
        <w:rPr>
          <w:rFonts w:ascii="Segoe UI" w:hAnsi="Segoe UI" w:cs="Segoe UI"/>
          <w:color w:val="172B4D"/>
          <w:sz w:val="21"/>
          <w:szCs w:val="21"/>
          <w:shd w:val="clear" w:color="auto" w:fill="FFFFFF"/>
        </w:rPr>
      </w:pPr>
    </w:p>
    <w:p w14:paraId="52C415F7" w14:textId="77777777" w:rsidR="00970428" w:rsidRDefault="00970428">
      <w:pPr>
        <w:rPr>
          <w:rFonts w:ascii="Segoe UI" w:hAnsi="Segoe UI" w:cs="Segoe UI"/>
          <w:color w:val="172B4D"/>
          <w:sz w:val="21"/>
          <w:szCs w:val="21"/>
          <w:shd w:val="clear" w:color="auto" w:fill="FFFFFF"/>
        </w:rPr>
      </w:pPr>
    </w:p>
    <w:p w14:paraId="482DC2CB" w14:textId="42434004" w:rsidR="00970428" w:rsidRPr="00970428" w:rsidRDefault="00970428">
      <w:pPr>
        <w:rPr>
          <w:rFonts w:ascii="Segoe UI" w:hAnsi="Segoe UI" w:cs="Segoe UI"/>
          <w:b/>
          <w:bCs/>
          <w:color w:val="172B4D"/>
          <w:sz w:val="21"/>
          <w:szCs w:val="21"/>
          <w:shd w:val="clear" w:color="auto" w:fill="FFFFFF"/>
        </w:rPr>
      </w:pPr>
      <w:r w:rsidRPr="00970428">
        <w:rPr>
          <w:rFonts w:ascii="Segoe UI" w:hAnsi="Segoe UI" w:cs="Segoe UI"/>
          <w:b/>
          <w:bCs/>
          <w:color w:val="172B4D"/>
          <w:sz w:val="21"/>
          <w:szCs w:val="21"/>
          <w:shd w:val="clear" w:color="auto" w:fill="FFFFFF"/>
        </w:rPr>
        <w:lastRenderedPageBreak/>
        <w:t>Sandra – LMS in UAT</w:t>
      </w:r>
    </w:p>
    <w:p w14:paraId="7667B53B" w14:textId="77777777" w:rsidR="00970428" w:rsidRDefault="00970428" w:rsidP="00970428">
      <w:r>
        <w:t>Volcker Business Area</w:t>
      </w:r>
      <w:r>
        <w:tab/>
        <w:t>Volcker Trading Desk</w:t>
      </w:r>
      <w:r>
        <w:tab/>
        <w:t>Limit Code</w:t>
      </w:r>
      <w:r>
        <w:tab/>
        <w:t>Limit Name</w:t>
      </w:r>
      <w:r>
        <w:tab/>
        <w:t>Limit Value</w:t>
      </w:r>
      <w:r>
        <w:tab/>
        <w:t>Currency</w:t>
      </w:r>
      <w:r>
        <w:tab/>
        <w:t>Status</w:t>
      </w:r>
      <w:r>
        <w:tab/>
        <w:t>Maturity Name</w:t>
      </w:r>
      <w:r>
        <w:tab/>
        <w:t>Product Type</w:t>
      </w:r>
      <w:r>
        <w:tab/>
        <w:t>Risk Factor Name</w:t>
      </w:r>
      <w:r>
        <w:tab/>
        <w:t>Significant Rating</w:t>
      </w:r>
      <w:r>
        <w:tab/>
        <w:t>Shift Name</w:t>
      </w:r>
      <w:r>
        <w:tab/>
        <w:t>Measure</w:t>
      </w:r>
      <w:r>
        <w:tab/>
        <w:t>Measure Unit</w:t>
      </w:r>
      <w:r>
        <w:tab/>
        <w:t>entity_id</w:t>
      </w:r>
      <w:r>
        <w:tab/>
        <w:t>entity_name</w:t>
      </w:r>
    </w:p>
    <w:p w14:paraId="177D37F6" w14:textId="03A09365" w:rsidR="00970428" w:rsidRDefault="00970428" w:rsidP="00970428">
      <w:r>
        <w:t>MUNICIPAL BANKING AND MARKETS</w:t>
      </w:r>
      <w:r>
        <w:tab/>
        <w:t>MBAM SECONDARY</w:t>
      </w:r>
      <w:r>
        <w:tab/>
        <w:t>INTRA_FICC_237</w:t>
      </w:r>
      <w:r>
        <w:tab/>
        <w:t>INTRA_FICC_MUNI SECONDARY_USD_CS01+1bp</w:t>
      </w:r>
      <w:r>
        <w:tab/>
        <w:t>2000000.000</w:t>
      </w:r>
      <w:r>
        <w:tab/>
        <w:t>USD</w:t>
      </w:r>
      <w:r>
        <w:tab/>
        <w:t>Active</w:t>
      </w:r>
      <w:r>
        <w:tab/>
        <w:t>&lt;None&gt;</w:t>
      </w:r>
      <w:r>
        <w:tab/>
        <w:t>&lt;None&gt;</w:t>
      </w:r>
      <w:r>
        <w:tab/>
        <w:t>Credit Spread</w:t>
      </w:r>
      <w:r>
        <w:tab/>
        <w:t xml:space="preserve"> </w:t>
      </w:r>
      <w:r>
        <w:tab/>
        <w:t>-1</w:t>
      </w:r>
      <w:r>
        <w:tab/>
        <w:t>CS01</w:t>
      </w:r>
      <w:r>
        <w:tab/>
        <w:t>b.p.</w:t>
      </w:r>
      <w:r>
        <w:tab/>
        <w:t>8009245</w:t>
      </w:r>
      <w:r>
        <w:tab/>
        <w:t>MUNICIPAL BANKING AND MARKETS</w:t>
      </w:r>
    </w:p>
    <w:p w14:paraId="3A58A7E7" w14:textId="77777777" w:rsidR="00970428" w:rsidRDefault="00970428" w:rsidP="00970428"/>
    <w:p w14:paraId="59510A7B" w14:textId="3D6E68B5" w:rsidR="00970428" w:rsidRDefault="00970428" w:rsidP="00970428">
      <w:r w:rsidRPr="00970428">
        <w:drawing>
          <wp:inline distT="0" distB="0" distL="0" distR="0" wp14:anchorId="4FB3BD9F" wp14:editId="06DE786E">
            <wp:extent cx="9102199" cy="850900"/>
            <wp:effectExtent l="0" t="0" r="3810" b="6350"/>
            <wp:docPr id="1113913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13525" name=""/>
                    <pic:cNvPicPr/>
                  </pic:nvPicPr>
                  <pic:blipFill>
                    <a:blip r:embed="rId6"/>
                    <a:stretch>
                      <a:fillRect/>
                    </a:stretch>
                  </pic:blipFill>
                  <pic:spPr>
                    <a:xfrm>
                      <a:off x="0" y="0"/>
                      <a:ext cx="9108890" cy="851526"/>
                    </a:xfrm>
                    <a:prstGeom prst="rect">
                      <a:avLst/>
                    </a:prstGeom>
                  </pic:spPr>
                </pic:pic>
              </a:graphicData>
            </a:graphic>
          </wp:inline>
        </w:drawing>
      </w:r>
    </w:p>
    <w:p w14:paraId="74662BD3" w14:textId="11E8B57D" w:rsidR="00970428" w:rsidRDefault="00970428" w:rsidP="00970428">
      <w:r w:rsidRPr="00970428">
        <w:drawing>
          <wp:inline distT="0" distB="0" distL="0" distR="0" wp14:anchorId="27873834" wp14:editId="5F941DFB">
            <wp:extent cx="9144000" cy="860425"/>
            <wp:effectExtent l="0" t="0" r="0" b="0"/>
            <wp:docPr id="1610817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817409" name=""/>
                    <pic:cNvPicPr/>
                  </pic:nvPicPr>
                  <pic:blipFill>
                    <a:blip r:embed="rId7"/>
                    <a:stretch>
                      <a:fillRect/>
                    </a:stretch>
                  </pic:blipFill>
                  <pic:spPr>
                    <a:xfrm>
                      <a:off x="0" y="0"/>
                      <a:ext cx="9144000" cy="860425"/>
                    </a:xfrm>
                    <a:prstGeom prst="rect">
                      <a:avLst/>
                    </a:prstGeom>
                  </pic:spPr>
                </pic:pic>
              </a:graphicData>
            </a:graphic>
          </wp:inline>
        </w:drawing>
      </w:r>
    </w:p>
    <w:p w14:paraId="5A3121CD" w14:textId="66A30B16" w:rsidR="005760AE" w:rsidRDefault="005760AE" w:rsidP="00970428">
      <w:r w:rsidRPr="005760AE">
        <w:drawing>
          <wp:inline distT="0" distB="0" distL="0" distR="0" wp14:anchorId="17ED2DAD" wp14:editId="2AB33738">
            <wp:extent cx="6775450" cy="3086735"/>
            <wp:effectExtent l="0" t="0" r="6350" b="0"/>
            <wp:docPr id="2095337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337995" name=""/>
                    <pic:cNvPicPr/>
                  </pic:nvPicPr>
                  <pic:blipFill>
                    <a:blip r:embed="rId8"/>
                    <a:stretch>
                      <a:fillRect/>
                    </a:stretch>
                  </pic:blipFill>
                  <pic:spPr>
                    <a:xfrm>
                      <a:off x="0" y="0"/>
                      <a:ext cx="6815400" cy="3104935"/>
                    </a:xfrm>
                    <a:prstGeom prst="rect">
                      <a:avLst/>
                    </a:prstGeom>
                  </pic:spPr>
                </pic:pic>
              </a:graphicData>
            </a:graphic>
          </wp:inline>
        </w:drawing>
      </w:r>
    </w:p>
    <w:p w14:paraId="15764DDC" w14:textId="77777777" w:rsidR="005760AE" w:rsidRDefault="005760AE" w:rsidP="00970428"/>
    <w:p w14:paraId="69ECBF64" w14:textId="45F24039" w:rsidR="005760AE" w:rsidRDefault="005760AE" w:rsidP="00970428">
      <w:r w:rsidRPr="005760AE">
        <w:lastRenderedPageBreak/>
        <w:drawing>
          <wp:inline distT="0" distB="0" distL="0" distR="0" wp14:anchorId="79969EB3" wp14:editId="73035A5C">
            <wp:extent cx="9144000" cy="5080635"/>
            <wp:effectExtent l="0" t="0" r="0" b="5715"/>
            <wp:docPr id="753214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14161" name=""/>
                    <pic:cNvPicPr/>
                  </pic:nvPicPr>
                  <pic:blipFill>
                    <a:blip r:embed="rId9"/>
                    <a:stretch>
                      <a:fillRect/>
                    </a:stretch>
                  </pic:blipFill>
                  <pic:spPr>
                    <a:xfrm>
                      <a:off x="0" y="0"/>
                      <a:ext cx="9144000" cy="5080635"/>
                    </a:xfrm>
                    <a:prstGeom prst="rect">
                      <a:avLst/>
                    </a:prstGeom>
                  </pic:spPr>
                </pic:pic>
              </a:graphicData>
            </a:graphic>
          </wp:inline>
        </w:drawing>
      </w:r>
    </w:p>
    <w:p w14:paraId="50538778" w14:textId="77777777" w:rsidR="00686713" w:rsidRDefault="00686713" w:rsidP="00970428"/>
    <w:p w14:paraId="7E401337" w14:textId="77777777" w:rsidR="00686713" w:rsidRDefault="00686713" w:rsidP="00970428"/>
    <w:p w14:paraId="364F3710" w14:textId="77777777" w:rsidR="00686713" w:rsidRDefault="00686713" w:rsidP="00970428"/>
    <w:p w14:paraId="579E1AF7" w14:textId="77777777" w:rsidR="00686713" w:rsidRDefault="00686713" w:rsidP="00970428"/>
    <w:p w14:paraId="4F900C9F" w14:textId="77777777" w:rsidR="00686713" w:rsidRDefault="00686713" w:rsidP="00970428"/>
    <w:p w14:paraId="2EF4A0CA" w14:textId="77777777" w:rsidR="00686713" w:rsidRDefault="00686713" w:rsidP="00970428"/>
    <w:p w14:paraId="37888B05" w14:textId="45BB4FDE" w:rsidR="00686713" w:rsidRDefault="00686713" w:rsidP="00970428">
      <w:r>
        <w:lastRenderedPageBreak/>
        <w:t>Limit changes reflecting in Comparison Report –</w:t>
      </w:r>
    </w:p>
    <w:p w14:paraId="5922F080" w14:textId="6EAE562C" w:rsidR="00686713" w:rsidRDefault="00686713" w:rsidP="00970428">
      <w:r w:rsidRPr="00686713">
        <w:drawing>
          <wp:inline distT="0" distB="0" distL="0" distR="0" wp14:anchorId="312CB944" wp14:editId="32E40FA8">
            <wp:extent cx="9144000" cy="4402455"/>
            <wp:effectExtent l="0" t="0" r="0" b="0"/>
            <wp:docPr id="1413502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502414" name=""/>
                    <pic:cNvPicPr/>
                  </pic:nvPicPr>
                  <pic:blipFill>
                    <a:blip r:embed="rId10"/>
                    <a:stretch>
                      <a:fillRect/>
                    </a:stretch>
                  </pic:blipFill>
                  <pic:spPr>
                    <a:xfrm>
                      <a:off x="0" y="0"/>
                      <a:ext cx="9144000" cy="4402455"/>
                    </a:xfrm>
                    <a:prstGeom prst="rect">
                      <a:avLst/>
                    </a:prstGeom>
                  </pic:spPr>
                </pic:pic>
              </a:graphicData>
            </a:graphic>
          </wp:inline>
        </w:drawing>
      </w:r>
    </w:p>
    <w:sectPr w:rsidR="00686713" w:rsidSect="00970428">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428"/>
    <w:rsid w:val="005760AE"/>
    <w:rsid w:val="00622694"/>
    <w:rsid w:val="00686713"/>
    <w:rsid w:val="00787369"/>
    <w:rsid w:val="00970428"/>
    <w:rsid w:val="00B8750F"/>
    <w:rsid w:val="00D4557E"/>
    <w:rsid w:val="00E93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CEB6"/>
  <w15:chartTrackingRefBased/>
  <w15:docId w15:val="{EA254879-DB0D-4469-9EF1-415D91831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0428"/>
    <w:rPr>
      <w:color w:val="0000FF"/>
      <w:u w:val="single"/>
    </w:rPr>
  </w:style>
  <w:style w:type="paragraph" w:styleId="NormalWeb">
    <w:name w:val="Normal (Web)"/>
    <w:basedOn w:val="Normal"/>
    <w:uiPriority w:val="99"/>
    <w:semiHidden/>
    <w:unhideWhenUsed/>
    <w:rsid w:val="009704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08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jira2.horizon.bankofamerica.com/browse/FICCRISK-32258"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itus xmlns="http://schemas.titus.com/TitusProperties/">
  <TitusGUID xmlns="">69801633-a2b6-451b-95d5-61b6a437cece</TitusGUID>
  <TitusMetadata xmlns="">eyJucyI6Imh0dHA6XC9cL3d3dy50aXR1cy5jb21cL25zXC9CYW5rIG9mIEFtZXJpY2EiLCJwcm9wcyI6W3sibiI6IkNsYXNzaWZpY2F0aW9uIiwidmFscyI6W3sidmFsdWUiOiJVbmNsYXNzaWZpZWQifV19LHsibiI6IkF1ZGllbmNlIiwidmFscyI6W119LHsibiI6IkNvbmZpZGVudGlhbFR5cGUiLCJ2YWxzIjpbXX1dfQ==</TitusMetadata>
</titus>
</file>

<file path=customXml/itemProps1.xml><?xml version="1.0" encoding="utf-8"?>
<ds:datastoreItem xmlns:ds="http://schemas.openxmlformats.org/officeDocument/2006/customXml" ds:itemID="{C6A33DD2-A53A-438F-ABBB-953F10F09FC1}">
  <ds:schemaRefs>
    <ds:schemaRef ds:uri="http://schemas.titus.com/TitusProperties/"/>
    <ds:schemaRef ds:uri=""/>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4</Pages>
  <Words>208</Words>
  <Characters>1190</Characters>
  <Application>Microsoft Office Word</Application>
  <DocSecurity>0</DocSecurity>
  <Lines>9</Lines>
  <Paragraphs>2</Paragraphs>
  <ScaleCrop>false</ScaleCrop>
  <Company>Bank of America</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 Ankita</dc:creator>
  <cp:keywords/>
  <dc:description/>
  <cp:lastModifiedBy>Pal, Ankita</cp:lastModifiedBy>
  <cp:revision>3</cp:revision>
  <dcterms:created xsi:type="dcterms:W3CDTF">2025-08-19T11:13:00Z</dcterms:created>
  <dcterms:modified xsi:type="dcterms:W3CDTF">2025-08-19T13:05:00Z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69801633-a2b6-451b-95d5-61b6a437cece</vt:lpwstr>
  </property>
  <property fmtid="{D5CDD505-2E9C-101B-9397-08002B2CF9AE}" pid="3" name="BAC">
    <vt:lpwstr>B!bac@C</vt:lpwstr>
  </property>
  <property fmtid="{D5CDD505-2E9C-101B-9397-08002B2CF9AE}" pid="4" name="Classification">
    <vt:lpwstr>Unclassified</vt:lpwstr>
  </property>
</Properties>
</file>