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Xc4efbcc3a74f15d33410d002e6435846ce57f34"/>
      <w:r>
        <w:rPr/>
        <w:t>BEP-XXXX: Nexus — Stateless, Identity-Anchored, Self-Evolving, Commerce-Capable AI Agents on BNB Chain</w:t>
      </w:r>
      <w:bookmarkEnd w:id="0"/>
    </w:p>
    <w:tbl>
      <w:tblPr>
        <w:tblStyle w:val="Table"/>
        <w:tblW w:w="5000" w:type="pct"/>
        <w:jc w:val="start"/>
        <w:tblInd w:w="0" w:type="dxa"/>
        <w:tblLayout w:type="fixed"/>
        <w:tblCellMar>
          <w:top w:w="0" w:type="dxa"/>
          <w:start w:w="108" w:type="dxa"/>
          <w:bottom w:w="0" w:type="dxa"/>
          <w:end w:w="108" w:type="dxa"/>
        </w:tblCellMar>
        <w:tblLook w:firstRow="1"/>
      </w:tblPr>
      <w:tblGrid>
        <w:gridCol w:w="1231"/>
        <w:gridCol w:w="8129"/>
      </w:tblGrid>
      <w:tr>
        <w:trPr>
          <w:cnfStyle w:firstRow="1"/>
        </w:trPr>
        <w:tc>
          <w:tcPr>
            <w:tcW w:w="12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812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BEP</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 (assigned upon acceptance)</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Nexus: Stateless, Identity-Anchored, Self-Evolving, Commerce-Capable AI Agents</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0.4 (2026-05-04) — see Changelog</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Standards Track</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huihzhao (jimmy.zz@bnbchain.org)</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2026-04-28</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Requires</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ERC-8004 (Agent Identity Registry), ERC-8183 (Agentic Commerce), BNB Greenfield</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Discussion</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https://github.com/huihzhao/nexus/discussions</w:t>
            </w:r>
          </w:p>
        </w:tc>
      </w:tr>
      <w:tr>
        <w:trPr/>
        <w:tc>
          <w:tcPr>
            <w:tcW w:w="12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Replaces</w:t>
            </w:r>
          </w:p>
        </w:tc>
        <w:tc>
          <w:tcPr>
            <w:tcW w:w="812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rPr/>
      </w:pPr>
      <w:bookmarkStart w:id="1" w:name="abstract"/>
      <w:r>
        <w:rPr/>
        <w:t>Abstract</w:t>
      </w:r>
      <w:bookmarkEnd w:id="1"/>
    </w:p>
    <w:p>
      <w:pPr>
        <w:pStyle w:val="FirstParagraph"/>
        <w:rPr/>
      </w:pPr>
      <w:r>
        <w:rPr/>
        <w:t xml:space="preserve">This BEP proposes </w:t>
      </w:r>
      <w:r>
        <w:rPr>
          <w:b/>
        </w:rPr>
        <w:t>Nexus</w:t>
      </w:r>
      <w:r>
        <w:rPr/>
        <w:t xml:space="preserve">, a standard for </w:t>
      </w:r>
      <w:r>
        <w:rPr>
          <w:b/>
        </w:rPr>
        <w:t>stateless, identity-anchored, self-evolving, commerce-capable AI agents</w:t>
      </w:r>
      <w:r>
        <w:rPr/>
        <w:t xml:space="preserve"> on BNB Chain. Each adjective maps to a concrete on-chain or on-Greenfield primitive:</w:t>
      </w:r>
    </w:p>
    <w:tbl>
      <w:tblPr>
        <w:tblStyle w:val="Table"/>
        <w:tblW w:w="5000" w:type="pct"/>
        <w:jc w:val="start"/>
        <w:tblInd w:w="0" w:type="dxa"/>
        <w:tblLayout w:type="fixed"/>
        <w:tblCellMar>
          <w:top w:w="0" w:type="dxa"/>
          <w:start w:w="108" w:type="dxa"/>
          <w:bottom w:w="0" w:type="dxa"/>
          <w:end w:w="108" w:type="dxa"/>
        </w:tblCellMar>
        <w:tblLook w:firstRow="1"/>
      </w:tblPr>
      <w:tblGrid>
        <w:gridCol w:w="1665"/>
        <w:gridCol w:w="6108"/>
        <w:gridCol w:w="1587"/>
      </w:tblGrid>
      <w:tr>
        <w:trPr>
          <w:cnfStyle w:firstRow="1"/>
        </w:trPr>
        <w:tc>
          <w:tcPr>
            <w:tcW w:w="166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c>
          <w:tcPr>
            <w:tcW w:w="610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means for the agent</w:t>
            </w:r>
          </w:p>
        </w:tc>
        <w:tc>
          <w:tcPr>
            <w:tcW w:w="158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 the spec lives</w:t>
            </w:r>
          </w:p>
        </w:tc>
      </w:tr>
      <w:tr>
        <w:trPr/>
        <w:tc>
          <w:tcPr>
            <w:tcW w:w="16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Stateless</w:t>
            </w:r>
          </w:p>
        </w:tc>
        <w:tc>
          <w:tcPr>
            <w:tcW w:w="61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compliant runtime can resume the agent from a 32-byte content hash on BSC plus an owner-keyed Greenfield bucket. The runtime is replaceable; the agent is not.</w:t>
            </w:r>
          </w:p>
        </w:tc>
        <w:tc>
          <w:tcPr>
            <w:tcW w:w="15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6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Identity-anchored</w:t>
            </w:r>
          </w:p>
        </w:tc>
        <w:tc>
          <w:tcPr>
            <w:tcW w:w="61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agent is an ERC-8004 NFT. Ownership, transfer, runtime authorisation all flow through the existing identity primitive — no parallel identity scheme.</w:t>
            </w:r>
          </w:p>
        </w:tc>
        <w:tc>
          <w:tcPr>
            <w:tcW w:w="15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6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Self-evolving</w:t>
            </w:r>
          </w:p>
        </w:tc>
        <w:tc>
          <w:tcPr>
            <w:tcW w:w="61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self-improvement edit (memory compaction, skill learning, persona update) is pinned as a falsifiable proposal+verdict pair on the same hash chain as user messages.</w:t>
            </w:r>
          </w:p>
        </w:tc>
        <w:tc>
          <w:tcPr>
            <w:tcW w:w="15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6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Commerce-capable</w:t>
            </w:r>
          </w:p>
        </w:tc>
        <w:tc>
          <w:tcPr>
            <w:tcW w:w="61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Inter-agent jobs use ERC-8183 (Agentic Commerce) directly; the lifecycle is mirrored into the agent’s hash chain so its CV is auditable.</w:t>
            </w:r>
          </w:p>
        </w:tc>
        <w:tc>
          <w:tcPr>
            <w:tcW w:w="15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t>The four properties share one storage model: a per-agent Greenfield bucket (</w:t>
      </w:r>
      <w:r>
        <w:rPr>
          <w:rStyle w:val="VerbatimChar"/>
        </w:rPr>
        <w:t>nexus-agent-{tokenId}</w:t>
      </w:r>
      <w:r>
        <w:rPr/>
        <w:t>) holding the full event log + manifest, anchored on BSC by SHA-256 of the canonical manifest. Cost stays low — ~84 bytes per agent on BSC, bulk payloads on Greenfield’s pay-per-byte storage.</w:t>
      </w:r>
    </w:p>
    <w:p>
      <w:pPr>
        <w:pStyle w:val="SourceCode"/>
        <w:rPr/>
      </w:pPr>
      <w:r>
        <w:rPr>
          <w:rStyle w:val="VerbatimChar"/>
        </w:rPr>
        <w:t xml:space="preserve">                       </w:t>
      </w:r>
      <w:r>
        <w:rPr>
          <w:rStyle w:val="VerbatimChar"/>
        </w:rPr>
        <w:t>Nexus = 4 properties on 1 storage model</w:t>
      </w:r>
      <w:r>
        <w:rPr/>
        <w:br/>
      </w:r>
      <w:r>
        <w:rPr>
          <w:rStyle w:val="VerbatimChar"/>
        </w:rPr>
        <w:t xml:space="preserve">   ┌──────────────────────────┬──────────────────────────┐</w:t>
      </w:r>
      <w:r>
        <w:rPr/>
        <w:br/>
      </w:r>
      <w:r>
        <w:rPr>
          <w:rStyle w:val="VerbatimChar"/>
        </w:rPr>
        <w:t xml:space="preserve">   │       BSC (anchor)       │   Greenfield (payload)   │</w:t>
      </w:r>
      <w:r>
        <w:rPr/>
        <w:br/>
      </w:r>
      <w:r>
        <w:rPr>
          <w:rStyle w:val="VerbatimChar"/>
        </w:rPr>
        <w:t xml:space="preserve">   ├──────────────────────────┼──────────────────────────┤</w:t>
      </w:r>
      <w:r>
        <w:rPr/>
        <w:br/>
      </w:r>
      <w:r>
        <w:rPr>
          <w:rStyle w:val="VerbatimChar"/>
        </w:rPr>
        <w:t xml:space="preserve">   │ ERC-8004 NFT  (identity) │ events/    (DPM log)     │</w:t>
      </w:r>
      <w:r>
        <w:rPr/>
        <w:br/>
      </w:r>
      <w:r>
        <w:rPr>
          <w:rStyle w:val="VerbatimChar"/>
        </w:rPr>
        <w:t xml:space="preserve">   │ AgentStateExt (state)    │ memory/    (compactions) │</w:t>
      </w:r>
      <w:r>
        <w:rPr/>
        <w:br/>
      </w:r>
      <w:r>
        <w:rPr>
          <w:rStyle w:val="VerbatimChar"/>
        </w:rPr>
        <w:t xml:space="preserve">   │ ERC-8183      (commerce) │ jobs/      (commerce)    │</w:t>
      </w:r>
      <w:r>
        <w:rPr/>
        <w:br/>
      </w:r>
      <w:r>
        <w:rPr>
          <w:rStyle w:val="VerbatimChar"/>
        </w:rPr>
        <w:t xml:space="preserve">   │                          │ manifest.json (state hash)│</w:t>
      </w:r>
      <w:r>
        <w:rPr/>
        <w:br/>
      </w:r>
      <w:r>
        <w:rPr>
          <w:rStyle w:val="VerbatimChar"/>
        </w:rPr>
        <w:t xml:space="preserve">   └──────────────────────────┴──────────────────────────┘</w:t>
      </w:r>
      <w:r>
        <w:rPr/>
        <w:br/>
      </w:r>
      <w:r>
        <w:rPr>
          <w:rStyle w:val="VerbatimChar"/>
        </w:rPr>
        <w:t xml:space="preserve">              │                            │</w:t>
      </w:r>
      <w:r>
        <w:rPr/>
        <w:br/>
      </w:r>
      <w:r>
        <w:rPr>
          <w:rStyle w:val="VerbatimChar"/>
        </w:rPr>
        <w:t xml:space="preserve">              └─────── one tokenId ────────┘</w:t>
      </w:r>
    </w:p>
    <w:p>
      <w:pPr>
        <w:pStyle w:val="Heading2"/>
        <w:rPr/>
      </w:pPr>
      <w:bookmarkStart w:id="2" w:name="purpose"/>
      <w:r>
        <w:rPr/>
        <w:t>Purpose</w:t>
      </w:r>
      <w:bookmarkEnd w:id="2"/>
    </w:p>
    <w:p>
      <w:pPr>
        <w:pStyle w:val="FirstParagraph"/>
        <w:rPr/>
      </w:pPr>
      <w:r>
        <w:rPr>
          <w:b/>
        </w:rPr>
        <w:t>An AI agent today is a process, not an asset.</w:t>
      </w:r>
      <w:r>
        <w:rPr/>
        <w:t xml:space="preserve"> Its memory, its learned behaviour, its tool configuration, its commercial track record — all of it lives inside a single runtime, behind a single vendor’s auth, on a single piece of hardware. Kill the process, swap the hardware, change the operator, and the agent is gone. Whatever the user paid to teach it is gone with it.</w:t>
      </w:r>
    </w:p>
    <w:p>
      <w:pPr>
        <w:pStyle w:val="BodyText"/>
        <w:rPr/>
      </w:pPr>
      <w:r>
        <w:rPr>
          <w:b/>
        </w:rPr>
        <w:t>This BEP makes an AI agent into a portable, verifiable, on-chain asset.</w:t>
      </w:r>
      <w:r>
        <w:rPr/>
        <w:t xml:space="preserve"> The four properties from the Abstract directly map to the problems being solved:</w:t>
      </w:r>
    </w:p>
    <w:tbl>
      <w:tblPr>
        <w:tblStyle w:val="Table"/>
        <w:tblW w:w="5000" w:type="pct"/>
        <w:jc w:val="start"/>
        <w:tblInd w:w="0" w:type="dxa"/>
        <w:tblLayout w:type="fixed"/>
        <w:tblCellMar>
          <w:top w:w="0" w:type="dxa"/>
          <w:start w:w="108" w:type="dxa"/>
          <w:bottom w:w="0" w:type="dxa"/>
          <w:end w:w="108" w:type="dxa"/>
        </w:tblCellMar>
        <w:tblLook w:firstRow="1"/>
      </w:tblPr>
      <w:tblGrid>
        <w:gridCol w:w="1965"/>
        <w:gridCol w:w="7395"/>
      </w:tblGrid>
      <w:tr>
        <w:trPr>
          <w:cnfStyle w:firstRow="1"/>
        </w:trPr>
        <w:tc>
          <w:tcPr>
            <w:tcW w:w="196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c>
          <w:tcPr>
            <w:tcW w:w="739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Problem solved</w:t>
            </w:r>
          </w:p>
        </w:tc>
      </w:tr>
      <w:tr>
        <w:trPr/>
        <w:tc>
          <w:tcPr>
            <w:tcW w:w="19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Stateless</w:t>
            </w:r>
          </w:p>
        </w:tc>
        <w:tc>
          <w:tcPr>
            <w:tcW w:w="73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state is held hostage by the runtime that hosts it.</w:t>
            </w:r>
          </w:p>
        </w:tc>
      </w:tr>
      <w:tr>
        <w:trPr/>
        <w:tc>
          <w:tcPr>
            <w:tcW w:w="19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Identity-anchored</w:t>
            </w:r>
          </w:p>
        </w:tc>
        <w:tc>
          <w:tcPr>
            <w:tcW w:w="73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standard way to prove “this runtime is authorised to act as agent X.”</w:t>
            </w:r>
          </w:p>
        </w:tc>
      </w:tr>
      <w:tr>
        <w:trPr/>
        <w:tc>
          <w:tcPr>
            <w:tcW w:w="19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Self-evolving (audited)</w:t>
            </w:r>
          </w:p>
        </w:tc>
        <w:tc>
          <w:tcPr>
            <w:tcW w:w="73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Self-evolving agents can drift without anyone noticing.</w:t>
            </w:r>
          </w:p>
        </w:tc>
      </w:tr>
      <w:tr>
        <w:trPr/>
        <w:tc>
          <w:tcPr>
            <w:tcW w:w="196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Commerce-capable</w:t>
            </w:r>
          </w:p>
        </w:tc>
        <w:tc>
          <w:tcPr>
            <w:tcW w:w="73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Inter-agent commerce has no shared standard on BNB Chain that ties to identity.</w:t>
            </w:r>
          </w:p>
        </w:tc>
      </w:tr>
    </w:tbl>
    <w:p>
      <w:pPr>
        <w:pStyle w:val="Heading3"/>
        <w:rPr/>
      </w:pPr>
      <w:bookmarkStart w:id="3" w:name="non-goals"/>
      <w:r>
        <w:rPr/>
        <w:t>Non-goals</w:t>
      </w:r>
      <w:bookmarkEnd w:id="3"/>
    </w:p>
    <w:p>
      <w:pPr>
        <w:pStyle w:val="Compact"/>
        <w:numPr>
          <w:ilvl w:val="0"/>
          <w:numId w:val="1"/>
        </w:numPr>
        <w:rPr/>
      </w:pPr>
      <w:r>
        <w:rPr/>
        <w:t>This BEP does not specify the LLM, the agent’s prompt architecture, or the planner. Any runtime that produces conformant manifests is conformant.</w:t>
      </w:r>
    </w:p>
    <w:p>
      <w:pPr>
        <w:pStyle w:val="Compact"/>
        <w:numPr>
          <w:ilvl w:val="0"/>
          <w:numId w:val="1"/>
        </w:numPr>
        <w:rPr/>
      </w:pPr>
      <w:r>
        <w:rPr/>
        <w:t>This BEP does not define a marketplace, a discovery protocol, or a reputation registry. ERC-8004 + ERC-8183 cover those surfaces; Nexus interoperates with them but does not re-spec them.</w:t>
      </w:r>
    </w:p>
    <w:p>
      <w:pPr>
        <w:pStyle w:val="Compact"/>
        <w:numPr>
          <w:ilvl w:val="0"/>
          <w:numId w:val="1"/>
        </w:numPr>
        <w:rPr/>
      </w:pPr>
      <w:r>
        <w:rPr/>
        <w:t xml:space="preserve">This BEP does not mandate full on-chain task execution. The chain is the </w:t>
      </w:r>
      <w:r>
        <w:rPr>
          <w:i/>
        </w:rPr>
        <w:t>integrity</w:t>
      </w:r>
      <w:r>
        <w:rPr/>
        <w:t xml:space="preserve"> anchor, not the execution substrate.</w:t>
      </w:r>
    </w:p>
    <w:p>
      <w:pPr>
        <w:pStyle w:val="Heading2"/>
        <w:rPr/>
      </w:pPr>
      <w:bookmarkStart w:id="4" w:name="changelog"/>
      <w:r>
        <w:rPr/>
        <w:t>Changelog</w:t>
      </w:r>
      <w:bookmarkEnd w:id="4"/>
    </w:p>
    <w:p>
      <w:pPr>
        <w:pStyle w:val="Compact"/>
        <w:numPr>
          <w:ilvl w:val="0"/>
          <w:numId w:val="1"/>
        </w:numPr>
        <w:rPr/>
      </w:pPr>
      <w:r>
        <w:rPr>
          <w:b/>
        </w:rPr>
        <w:t>v0.4 (2026-05-04)</w:t>
      </w:r>
      <w:r>
        <w:rPr/>
        <w:t xml:space="preserve"> — Reorganised around the four-property spine from the Abstract. §1–§4 now map 1-to-1 to </w:t>
      </w:r>
      <w:r>
        <w:rPr>
          <w:b/>
        </w:rPr>
        <w:t>stateless / identity-anchored / self-evolving / commerce-capable</w:t>
      </w:r>
      <w:r>
        <w:rPr/>
        <w:t>. Solidity contracts are presented as interface signatures + key events; full implementations move to the reference repo. Diagrams added at the start of §1, §3, §4 to anchor the conceptual model. No normative behaviour changed from v0.3.</w:t>
      </w:r>
    </w:p>
    <w:p>
      <w:pPr>
        <w:pStyle w:val="Compact"/>
        <w:numPr>
          <w:ilvl w:val="0"/>
          <w:numId w:val="1"/>
        </w:numPr>
        <w:rPr/>
      </w:pPr>
      <w:r>
        <w:rPr>
          <w:b/>
        </w:rPr>
        <w:t>v0.3 (2026-05-03)</w:t>
      </w:r>
      <w:r>
        <w:rPr/>
        <w:t xml:space="preserve"> — Notes ERC-8183 (Agentic Commerce) interop and adds the </w:t>
      </w:r>
      <w:r>
        <w:rPr>
          <w:rStyle w:val="VerbatimChar"/>
        </w:rPr>
        <w:t>job_*</w:t>
      </w:r>
      <w:r>
        <w:rPr/>
        <w:t xml:space="preserve"> event types so an agent’s commercial activity is mirrored into its hash chain.</w:t>
      </w:r>
    </w:p>
    <w:p>
      <w:pPr>
        <w:pStyle w:val="Compact"/>
        <w:numPr>
          <w:ilvl w:val="0"/>
          <w:numId w:val="1"/>
        </w:numPr>
        <w:rPr/>
      </w:pPr>
      <w:r>
        <w:rPr>
          <w:b/>
        </w:rPr>
        <w:t>v0.2 (2026-04-28)</w:t>
      </w:r>
      <w:r>
        <w:rPr/>
        <w:t xml:space="preserve"> — Falsifiable evolution events (</w:t>
      </w:r>
      <w:r>
        <w:rPr>
          <w:rStyle w:val="VerbatimChar"/>
        </w:rPr>
        <w:t>evolution_proposal</w:t>
      </w:r>
      <w:r>
        <w:rPr/>
        <w:t xml:space="preserve"> / </w:t>
      </w:r>
      <w:r>
        <w:rPr>
          <w:rStyle w:val="VerbatimChar"/>
        </w:rPr>
        <w:t>evolution_verdict</w:t>
      </w:r>
      <w:r>
        <w:rPr/>
        <w:t xml:space="preserve"> / </w:t>
      </w:r>
      <w:r>
        <w:rPr>
          <w:rStyle w:val="VerbatimChar"/>
        </w:rPr>
        <w:t>evolution_revert</w:t>
      </w:r>
      <w:r>
        <w:rPr/>
        <w:t>).</w:t>
      </w:r>
    </w:p>
    <w:p>
      <w:pPr>
        <w:pStyle w:val="Compact"/>
        <w:numPr>
          <w:ilvl w:val="0"/>
          <w:numId w:val="1"/>
        </w:numPr>
        <w:rPr/>
      </w:pPr>
      <w:r>
        <w:rPr>
          <w:b/>
        </w:rPr>
        <w:t>v0.1 (2026-04-28)</w:t>
      </w:r>
      <w:r>
        <w:rPr/>
        <w:t xml:space="preserve"> — Initial draft: AgentStateExtension, TaskStateManager, </w:t>
      </w:r>
      <w:r>
        <w:rPr>
          <w:rStyle w:val="VerbatimChar"/>
        </w:rPr>
        <w:t>nexus.sync.batch.v1</w:t>
      </w:r>
      <w:r>
        <w:rPr/>
        <w:t>, three-ID model.</w:t>
      </w:r>
    </w:p>
    <w:p>
      <w:pPr>
        <w:pStyle w:val="Heading2"/>
        <w:rPr/>
      </w:pPr>
      <w:bookmarkStart w:id="5" w:name="motivation"/>
      <w:r>
        <w:rPr/>
        <w:t>Motivation</w:t>
      </w:r>
      <w:bookmarkEnd w:id="5"/>
    </w:p>
    <w:p>
      <w:pPr>
        <w:pStyle w:val="FirstParagraph"/>
        <w:rPr/>
      </w:pPr>
      <w:r>
        <w:rPr/>
        <w:t xml:space="preserve">Today’s AI agents have </w:t>
      </w:r>
      <w:r>
        <w:rPr>
          <w:i/>
        </w:rPr>
        <w:t>ephemeral</w:t>
      </w:r>
      <w:r>
        <w:rPr/>
        <w:t xml:space="preserve"> state. A conversation, a tool configuration, a learned skill, a behavioural contract — all live inside a runtime process or a single vendor’s database. When the process dies, the device changes, or the user wants to switch operators, that state is lost or held hostage.</w:t>
      </w:r>
    </w:p>
    <w:p>
      <w:pPr>
        <w:pStyle w:val="BodyText"/>
        <w:rPr/>
      </w:pPr>
      <w:r>
        <w:rPr>
          <w:b/>
        </w:rPr>
        <w:t xml:space="preserve">ERC-8004 standardised agent </w:t>
      </w:r>
      <w:r>
        <w:rPr>
          <w:b/>
          <w:i/>
        </w:rPr>
        <w:t>identity</w:t>
      </w:r>
      <w:r>
        <w:rPr/>
        <w:t xml:space="preserve"> (an NFT). </w:t>
      </w:r>
      <w:r>
        <w:rPr>
          <w:b/>
        </w:rPr>
        <w:t xml:space="preserve">ERC-8183 standardised inter-agent </w:t>
      </w:r>
      <w:r>
        <w:rPr>
          <w:b/>
          <w:i/>
        </w:rPr>
        <w:t>commerce</w:t>
      </w:r>
      <w:r>
        <w:rPr/>
        <w:t xml:space="preserve"> (job + escrow + evaluator). Both leave </w:t>
      </w:r>
      <w:r>
        <w:rPr>
          <w:i/>
        </w:rPr>
        <w:t>persistent agent state</w:t>
      </w:r>
      <w:r>
        <w:rPr/>
        <w:t xml:space="preserve"> unspecified. There is no standard way for an agent to persist memory and behaviour in a form a </w:t>
      </w:r>
      <w:r>
        <w:rPr>
          <w:i/>
        </w:rPr>
        <w:t>different</w:t>
      </w:r>
      <w:r>
        <w:rPr/>
        <w:t xml:space="preserve"> runtime can pick up; to prove the integrity of that state to a third party; or to bind self-evolution and commerce outcomes into the same auditable history.</w:t>
      </w:r>
    </w:p>
    <w:p>
      <w:pPr>
        <w:pStyle w:val="BodyText"/>
        <w:rPr/>
      </w:pPr>
      <w:r>
        <w:rPr/>
        <w:t xml:space="preserve">Centralised SaaS solves persistence at the cost of lock-in and verifiability. Putting full agent state on EVM is prohibitive — a 100 KB conversation history would cost dollars per write at typical gas prices. </w:t>
      </w:r>
      <w:r>
        <w:rPr>
          <w:b/>
        </w:rPr>
        <w:t>BNB Chain is uniquely positioned</w:t>
      </w:r>
      <w:r>
        <w:rPr/>
        <w:t xml:space="preserve">: BSC offers cheap, fast finality for the 32-byte </w:t>
      </w:r>
      <w:r>
        <w:rPr>
          <w:i/>
        </w:rPr>
        <w:t>anchor</w:t>
      </w:r>
      <w:r>
        <w:rPr/>
        <w:t xml:space="preserve">, and Greenfield offers cheap, owner-keyed, permissioned bulk storage for the </w:t>
      </w:r>
      <w:r>
        <w:rPr>
          <w:i/>
        </w:rPr>
        <w:t>payload</w:t>
      </w:r>
      <w:r>
        <w:rPr/>
        <w:t>. The two together give us an “anchor on BSC, store on Greenfield” pattern that no other L1 + storage stack natively provides.</w:t>
      </w:r>
    </w:p>
    <w:p>
      <w:pPr>
        <w:pStyle w:val="Heading2"/>
        <w:rPr/>
      </w:pPr>
      <w:bookmarkStart w:id="6" w:name="terminology"/>
      <w:r>
        <w:rPr/>
        <w:t>Terminology</w:t>
      </w:r>
      <w:bookmarkEnd w:id="6"/>
    </w:p>
    <w:tbl>
      <w:tblPr>
        <w:tblStyle w:val="Table"/>
        <w:tblW w:w="5000" w:type="pct"/>
        <w:jc w:val="start"/>
        <w:tblInd w:w="0" w:type="dxa"/>
        <w:tblLayout w:type="fixed"/>
        <w:tblCellMar>
          <w:top w:w="0" w:type="dxa"/>
          <w:start w:w="108" w:type="dxa"/>
          <w:bottom w:w="0" w:type="dxa"/>
          <w:end w:w="108" w:type="dxa"/>
        </w:tblCellMar>
        <w:tblLook w:firstRow="1"/>
      </w:tblPr>
      <w:tblGrid>
        <w:gridCol w:w="1808"/>
        <w:gridCol w:w="7552"/>
      </w:tblGrid>
      <w:tr>
        <w:trPr>
          <w:cnfStyle w:firstRow="1"/>
        </w:trPr>
        <w:tc>
          <w:tcPr>
            <w:tcW w:w="1808"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755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Agent</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long-lived AI entity identified by an ERC-8004 NFT.</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AgentRuntime</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process or service that </w:t>
            </w:r>
            <w:r>
              <w:rPr>
                <w:rFonts w:eastAsia="Cambria" w:cs=""/>
                <w:i/>
                <w:kern w:val="0"/>
                <w:sz w:val="24"/>
                <w:szCs w:val="24"/>
                <w:lang w:val="en-US" w:eastAsia="en-US" w:bidi="ar-SA"/>
              </w:rPr>
              <w:t>hosts</w:t>
            </w:r>
            <w:r>
              <w:rPr>
                <w:rFonts w:eastAsia="Cambria" w:cs=""/>
                <w:kern w:val="0"/>
                <w:sz w:val="24"/>
                <w:szCs w:val="24"/>
                <w:lang w:val="en-US" w:eastAsia="en-US" w:bidi="ar-SA"/>
              </w:rPr>
              <w:t xml:space="preserve"> the agent — runs the LLM loop, executes tools, applies state changes. Multiple runtimes may host the same agent over time, but only one is </w:t>
            </w:r>
            <w:r>
              <w:rPr>
                <w:rFonts w:eastAsia="Cambria" w:cs=""/>
                <w:i/>
                <w:kern w:val="0"/>
                <w:sz w:val="24"/>
                <w:szCs w:val="24"/>
                <w:lang w:val="en-US" w:eastAsia="en-US" w:bidi="ar-SA"/>
              </w:rPr>
              <w:t>active</w:t>
            </w:r>
            <w:r>
              <w:rPr>
                <w:rFonts w:eastAsia="Cambria" w:cs=""/>
                <w:kern w:val="0"/>
                <w:sz w:val="24"/>
                <w:szCs w:val="24"/>
                <w:lang w:val="en-US" w:eastAsia="en-US" w:bidi="ar-SA"/>
              </w:rPr>
              <w:t xml:space="preserve"> at a time.</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DPM</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Deterministic Projection Memory — append-only EventLog + a deterministic projection function </w:t>
            </w:r>
            <w:r>
              <w:rPr>
                <w:rStyle w:val="VerbatimChar"/>
                <w:rFonts w:eastAsia="Cambria" w:cs=""/>
                <w:kern w:val="0"/>
                <w:szCs w:val="24"/>
                <w:lang w:val="en-US" w:eastAsia="en-US" w:bidi="ar-SA"/>
              </w:rPr>
              <w:t>π(events, task, budget) → context</w:t>
            </w:r>
            <w:r>
              <w:rPr>
                <w:rFonts w:eastAsia="Cambria" w:cs=""/>
                <w:kern w:val="0"/>
                <w:sz w:val="24"/>
                <w:szCs w:val="24"/>
                <w:lang w:val="en-US" w:eastAsia="en-US" w:bidi="ar-SA"/>
              </w:rPr>
              <w:t>. Replay any prefix of the log → identical projection.</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ABC</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Behaviour Contract — declarative hard/soft rules + a DriftScore that observes compliance over time.</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state_root</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bytes32</w:t>
            </w:r>
            <w:r>
              <w:rPr>
                <w:rFonts w:eastAsia="Cambria" w:cs=""/>
                <w:kern w:val="0"/>
                <w:sz w:val="24"/>
                <w:szCs w:val="24"/>
                <w:lang w:val="en-US" w:eastAsia="en-US" w:bidi="ar-SA"/>
              </w:rPr>
              <w:t xml:space="preserve"> content hash of the agent’s curated state, anchored on BSC.</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active_runtime</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w:t>
            </w:r>
            <w:r>
              <w:rPr>
                <w:rFonts w:eastAsia="Cambria" w:cs=""/>
                <w:kern w:val="0"/>
                <w:sz w:val="24"/>
                <w:szCs w:val="24"/>
                <w:lang w:val="en-US" w:eastAsia="en-US" w:bidi="ar-SA"/>
              </w:rPr>
              <w:t xml:space="preserve"> of the runtime currently authorised to write state.</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tokenId</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ERC-721 tokenId from the ERC-8004 Identity Registry — the agent’s eternal id.</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agentId</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Application-level alias deterministically derived from tokenId (or human-chosen string for off-chain agents).</w:t>
            </w:r>
          </w:p>
        </w:tc>
      </w:tr>
      <w:tr>
        <w:trPr/>
        <w:tc>
          <w:tcPr>
            <w:tcW w:w="1808"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Anchor batch</w:t>
            </w:r>
          </w:p>
        </w:tc>
        <w:tc>
          <w:tcPr>
            <w:tcW w:w="755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JSON document conforming to </w:t>
            </w:r>
            <w:r>
              <w:rPr>
                <w:rStyle w:val="VerbatimChar"/>
                <w:rFonts w:eastAsia="Cambria" w:cs=""/>
                <w:kern w:val="0"/>
                <w:szCs w:val="24"/>
                <w:lang w:val="en-US" w:eastAsia="en-US" w:bidi="ar-SA"/>
              </w:rPr>
              <w:t>nexus.sync.batch.v1</w:t>
            </w:r>
            <w:r>
              <w:rPr>
                <w:rFonts w:eastAsia="Cambria" w:cs=""/>
                <w:kern w:val="0"/>
                <w:sz w:val="24"/>
                <w:szCs w:val="24"/>
                <w:lang w:val="en-US" w:eastAsia="en-US" w:bidi="ar-SA"/>
              </w:rPr>
              <w:t xml:space="preserve"> whose SHA-256 becomes the new </w:t>
            </w:r>
            <w:r>
              <w:rPr>
                <w:rStyle w:val="VerbatimChar"/>
                <w:rFonts w:eastAsia="Cambria" w:cs=""/>
                <w:kern w:val="0"/>
                <w:szCs w:val="24"/>
                <w:lang w:val="en-US" w:eastAsia="en-US" w:bidi="ar-SA"/>
              </w:rPr>
              <w:t>state_root</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specification"/>
      <w:r>
        <w:rPr/>
        <w:t>Specification</w:t>
      </w:r>
      <w:bookmarkEnd w:id="7"/>
    </w:p>
    <w:p>
      <w:pPr>
        <w:pStyle w:val="FirstParagraph"/>
        <w:rPr/>
      </w:pPr>
      <w:r>
        <w:rPr/>
        <w:t>The four sections below correspond to the four adjectives in the Abstract. Each section opens with a diagram, then defines the on-chain surface (interface + events) and the off-chain surface (Greenfield layout + schemas).</w:t>
      </w:r>
    </w:p>
    <w:p>
      <w:pPr>
        <w:pStyle w:val="Heading3"/>
        <w:rPr/>
      </w:pPr>
      <w:bookmarkStart w:id="8" w:name="stateless"/>
      <w:r>
        <w:rPr/>
        <w:t>§1 — Stateless</w:t>
      </w:r>
      <w:bookmarkEnd w:id="8"/>
    </w:p>
    <w:p>
      <w:pPr>
        <w:pStyle w:val="FirstParagraph"/>
        <w:rPr/>
      </w:pPr>
      <w:r>
        <w:rPr/>
        <w:t>The agent state lives in two places: a tiny anchor on BSC and the full payload on Greenfield. Either one alone is useless; together they let any runtime resume the agent.</w:t>
      </w:r>
    </w:p>
    <w:p>
      <w:pPr>
        <w:pStyle w:val="SourceCode"/>
        <w:rPr/>
      </w:pPr>
      <w:r>
        <w:rPr>
          <w:rStyle w:val="VerbatimChar"/>
        </w:rPr>
        <w:t xml:space="preserve">                ┌─ </w:t>
      </w:r>
      <w:r>
        <w:rPr>
          <w:rStyle w:val="VerbatimChar"/>
        </w:rPr>
        <w:t>wallet (NFT owner) ─────────────────┐</w:t>
      </w:r>
      <w:r>
        <w:rPr/>
        <w:br/>
      </w:r>
      <w:r>
        <w:rPr>
          <w:rStyle w:val="VerbatimChar"/>
        </w:rPr>
        <w:t xml:space="preserve">                │                                      │</w:t>
      </w:r>
      <w:r>
        <w:rPr/>
        <w:br/>
      </w:r>
      <w:r>
        <w:rPr>
          <w:rStyle w:val="VerbatimChar"/>
        </w:rPr>
        <w:t xml:space="preserve">                ▼                                      ▼</w:t>
      </w:r>
      <w:r>
        <w:rPr/>
        <w:br/>
      </w:r>
      <w:r>
        <w:rPr>
          <w:rStyle w:val="VerbatimChar"/>
        </w:rPr>
        <w:t xml:space="preserve">   ┌──────────────────────────┐        ┌───────────────────────────────┐</w:t>
      </w:r>
      <w:r>
        <w:rPr/>
        <w:br/>
      </w:r>
      <w:r>
        <w:rPr>
          <w:rStyle w:val="VerbatimChar"/>
        </w:rPr>
        <w:t xml:space="preserve">   │           BSC            │        │        BNB Greenfield         │</w:t>
      </w:r>
      <w:r>
        <w:rPr/>
        <w:br/>
      </w:r>
      <w:r>
        <w:rPr>
          <w:rStyle w:val="VerbatimChar"/>
        </w:rPr>
        <w:t xml:space="preserve">   │                          │        │  bucket: nexus-agent-{tokenId}│</w:t>
      </w:r>
      <w:r>
        <w:rPr/>
        <w:br/>
      </w:r>
      <w:r>
        <w:rPr>
          <w:rStyle w:val="VerbatimChar"/>
        </w:rPr>
        <w:t xml:space="preserve">   │  AgentStateExtension     │        │                               │</w:t>
      </w:r>
      <w:r>
        <w:rPr/>
        <w:br/>
      </w:r>
      <w:r>
        <w:rPr>
          <w:rStyle w:val="VerbatimChar"/>
        </w:rPr>
        <w:t xml:space="preserve">   │  ┌────────────────────┐  │        │  manifest.json  ──┐           │</w:t>
      </w:r>
      <w:r>
        <w:rPr/>
        <w:br/>
      </w:r>
      <w:r>
        <w:rPr>
          <w:rStyle w:val="VerbatimChar"/>
        </w:rPr>
        <w:t xml:space="preserve">   │  │ tokenId →          │  │        │  events/0001.json │           │</w:t>
      </w:r>
      <w:r>
        <w:rPr/>
        <w:br/>
      </w:r>
      <w:r>
        <w:rPr>
          <w:rStyle w:val="VerbatimChar"/>
        </w:rPr>
        <w:t xml:space="preserve">   │  │   stateRoot   (32B)│◀─┼─SHA-256┤  events/0002.json │           │</w:t>
      </w:r>
      <w:r>
        <w:rPr/>
        <w:br/>
      </w:r>
      <w:r>
        <w:rPr>
          <w:rStyle w:val="VerbatimChar"/>
        </w:rPr>
        <w:t xml:space="preserve">   │  │   activeRuntime    │  │        │  memory/curated/  │           │</w:t>
      </w:r>
      <w:r>
        <w:rPr/>
        <w:br/>
      </w:r>
      <w:r>
        <w:rPr>
          <w:rStyle w:val="VerbatimChar"/>
        </w:rPr>
        <w:t xml:space="preserve">   │  │   updatedAt        │  │        │  memory/compacts/ ┘           │</w:t>
      </w:r>
      <w:r>
        <w:rPr/>
        <w:br/>
      </w:r>
      <w:r>
        <w:rPr>
          <w:rStyle w:val="VerbatimChar"/>
        </w:rPr>
        <w:t xml:space="preserve">   │  └────────────────────┘  │        │                               │</w:t>
      </w:r>
      <w:r>
        <w:rPr/>
        <w:br/>
      </w:r>
      <w:r>
        <w:rPr>
          <w:rStyle w:val="VerbatimChar"/>
        </w:rPr>
        <w:t xml:space="preserve">   └──────────────────────────┘        └───────────────────────────────┘</w:t>
      </w:r>
      <w:r>
        <w:rPr/>
        <w:br/>
      </w:r>
      <w:r>
        <w:rPr>
          <w:rStyle w:val="VerbatimChar"/>
        </w:rPr>
        <w:t xml:space="preserve">              ▲                                       ▲</w:t>
      </w:r>
      <w:r>
        <w:rPr/>
        <w:br/>
      </w:r>
      <w:r>
        <w:rPr>
          <w:rStyle w:val="VerbatimChar"/>
        </w:rPr>
        <w:t xml:space="preserve">              │                                       │</w:t>
      </w:r>
      <w:r>
        <w:rPr/>
        <w:br/>
      </w:r>
      <w:r>
        <w:rPr>
          <w:rStyle w:val="VerbatimChar"/>
        </w:rPr>
        <w:t xml:space="preserve">              └────────── runtime A / runtime B ──────┘</w:t>
      </w:r>
      <w:r>
        <w:rPr/>
        <w:br/>
      </w:r>
      <w:r>
        <w:rPr>
          <w:rStyle w:val="VerbatimChar"/>
        </w:rPr>
        <w:t xml:space="preserve">                  (only one activeRuntime at a time)</w:t>
      </w:r>
    </w:p>
    <w:p>
      <w:pPr>
        <w:pStyle w:val="FirstParagraph"/>
        <w:rPr/>
      </w:pPr>
      <w:r>
        <w:rPr>
          <w:b/>
        </w:rPr>
        <w:t>The handoff invariant.</w:t>
      </w:r>
      <w:r>
        <w:rPr/>
        <w:t xml:space="preserve"> Given </w:t>
      </w:r>
      <w:r>
        <w:rPr>
          <w:rStyle w:val="VerbatimChar"/>
        </w:rPr>
        <w:t>(tokenId, wallet)</w:t>
      </w:r>
      <w:r>
        <w:rPr/>
        <w:t xml:space="preserve">, anyone can: read </w:t>
      </w:r>
      <w:r>
        <w:rPr>
          <w:rStyle w:val="VerbatimChar"/>
        </w:rPr>
        <w:t>stateRoot</w:t>
      </w:r>
      <w:r>
        <w:rPr/>
        <w:t xml:space="preserve"> from BSC → fetch </w:t>
      </w:r>
      <w:r>
        <w:rPr>
          <w:rStyle w:val="VerbatimChar"/>
        </w:rPr>
        <w:t>manifest.json</w:t>
      </w:r>
      <w:r>
        <w:rPr/>
        <w:t xml:space="preserve"> from Greenfield → verify SHA-256(manifest) == stateRoot → replay the EventLog → arrive at the same in-memory agent state as the previous host. No off-chain coordination needed.</w:t>
      </w:r>
    </w:p>
    <w:p>
      <w:pPr>
        <w:pStyle w:val="Heading4"/>
        <w:rPr/>
      </w:pPr>
      <w:bookmarkStart w:id="9" w:name="agentstateextension-interface"/>
      <w:r>
        <w:rPr/>
        <w:t>1.1 AgentStateExtension — interface</w:t>
      </w:r>
      <w:bookmarkEnd w:id="9"/>
    </w:p>
    <w:p>
      <w:pPr>
        <w:pStyle w:val="FirstParagraph"/>
        <w:rPr/>
      </w:pPr>
      <w:r>
        <w:rPr/>
        <w:t xml:space="preserve">A single Solidity contract anchors </w:t>
      </w:r>
      <w:r>
        <w:rPr>
          <w:rStyle w:val="VerbatimChar"/>
        </w:rPr>
        <w:t>(stateRoot, activeRuntime)</w:t>
      </w:r>
      <w:r>
        <w:rPr/>
        <w:t xml:space="preserve"> per ERC-8004 tokenId. Per-agent on-chain footprint is ~84 bytes (state_root: 32B, active_runtime: 20B, updated_at: 32B).</w:t>
      </w:r>
    </w:p>
    <w:p>
      <w:pPr>
        <w:pStyle w:val="SourceCode"/>
        <w:rPr/>
      </w:pPr>
      <w:r>
        <w:rPr>
          <w:rStyle w:val="VerbatimChar"/>
        </w:rPr>
        <w:t>interface IAgentStateExtension {</w:t>
      </w:r>
      <w:r>
        <w:rPr/>
        <w:br/>
      </w:r>
      <w:r>
        <w:rPr>
          <w:rStyle w:val="VerbatimChar"/>
        </w:rPr>
        <w:t xml:space="preserve">    struct AgentState {</w:t>
      </w:r>
      <w:r>
        <w:rPr/>
        <w:br/>
      </w:r>
      <w:r>
        <w:rPr>
          <w:rStyle w:val="VerbatimChar"/>
        </w:rPr>
        <w:t xml:space="preserve">        bytes32 stateRoot;        // SHA-256 → Greenfield manifest</w:t>
      </w:r>
      <w:r>
        <w:rPr/>
        <w:br/>
      </w:r>
      <w:r>
        <w:rPr>
          <w:rStyle w:val="VerbatimChar"/>
        </w:rPr>
        <w:t xml:space="preserve">        bytes32 merkleRoot;       // optional, for future on-chain proofs</w:t>
      </w:r>
      <w:r>
        <w:rPr/>
        <w:br/>
      </w:r>
      <w:r>
        <w:rPr>
          <w:rStyle w:val="VerbatimChar"/>
        </w:rPr>
        <w:t xml:space="preserve">        address activeRuntime;    // currently authorised writer</w:t>
      </w:r>
      <w:r>
        <w:rPr/>
        <w:br/>
      </w:r>
      <w:r>
        <w:rPr>
          <w:rStyle w:val="VerbatimChar"/>
        </w:rPr>
        <w:t xml:space="preserve">        address lastKnownOwner;   // used to detect NFT transfer</w:t>
      </w:r>
      <w:r>
        <w:rPr/>
        <w:br/>
      </w:r>
      <w:r>
        <w:rPr>
          <w:rStyle w:val="VerbatimChar"/>
        </w:rPr>
        <w:t xml:space="preserve">        uint256 updatedAt;</w:t>
      </w:r>
      <w:r>
        <w:rPr/>
        <w:br/>
      </w:r>
      <w:r>
        <w:rPr>
          <w:rStyle w:val="VerbatimChar"/>
        </w:rPr>
        <w:t xml:space="preserve">    }</w:t>
      </w:r>
      <w:r>
        <w:rPr/>
        <w:br/>
        <w:br/>
      </w:r>
      <w:r>
        <w:rPr>
          <w:rStyle w:val="VerbatimChar"/>
        </w:rPr>
        <w:t xml:space="preserve">    /// Update the state pointer. Caller MUST be NFT owner OR activeRuntime.</w:t>
      </w:r>
      <w:r>
        <w:rPr/>
        <w:br/>
      </w:r>
      <w:r>
        <w:rPr>
          <w:rStyle w:val="VerbatimChar"/>
        </w:rPr>
        <w:t xml:space="preserve">    function updateStateRoot(uint256 tokenId, bytes32 newRoot, bytes32 newMerkleRoot) external;</w:t>
      </w:r>
      <w:r>
        <w:rPr/>
        <w:br/>
        <w:br/>
      </w:r>
      <w:r>
        <w:rPr>
          <w:rStyle w:val="VerbatimChar"/>
        </w:rPr>
        <w:t xml:space="preserve">    /// Authorise / rotate the runtime. Caller MUST be NFT owner.</w:t>
      </w:r>
      <w:r>
        <w:rPr/>
        <w:br/>
      </w:r>
      <w:r>
        <w:rPr>
          <w:rStyle w:val="VerbatimChar"/>
        </w:rPr>
        <w:t xml:space="preserve">    function setActiveRuntime(uint256 tokenId, address newRuntime) external;</w:t>
      </w:r>
      <w:r>
        <w:rPr/>
        <w:br/>
        <w:br/>
      </w:r>
      <w:r>
        <w:rPr>
          <w:rStyle w:val="VerbatimChar"/>
        </w:rPr>
        <w:t xml:space="preserve">    function getState(uint256 tokenId)</w:t>
      </w:r>
      <w:r>
        <w:rPr/>
        <w:br/>
      </w:r>
      <w:r>
        <w:rPr>
          <w:rStyle w:val="VerbatimChar"/>
        </w:rPr>
        <w:t xml:space="preserve">        external view</w:t>
      </w:r>
      <w:r>
        <w:rPr/>
        <w:br/>
      </w:r>
      <w:r>
        <w:rPr>
          <w:rStyle w:val="VerbatimChar"/>
        </w:rPr>
        <w:t xml:space="preserve">        returns (bytes32 stateRoot, address activeRuntime, uint256 updatedAt);</w:t>
      </w:r>
      <w:r>
        <w:rPr/>
        <w:br/>
      </w:r>
      <w:r>
        <w:rPr>
          <w:rStyle w:val="VerbatimChar"/>
        </w:rPr>
        <w:t>}</w:t>
      </w:r>
    </w:p>
    <w:p>
      <w:pPr>
        <w:pStyle w:val="FirstParagraph"/>
        <w:rPr/>
      </w:pPr>
      <w:r>
        <w:rPr/>
        <w:t>Key events that downstream indexers MUST consume:</w:t>
      </w:r>
    </w:p>
    <w:p>
      <w:pPr>
        <w:pStyle w:val="SourceCode"/>
        <w:rPr/>
      </w:pPr>
      <w:r>
        <w:rPr>
          <w:rStyle w:val="VerbatimChar"/>
        </w:rPr>
        <w:t>event StateRootUpdated(uint256 indexed tokenId, bytes32 indexed newRoot,</w:t>
      </w:r>
      <w:r>
        <w:rPr/>
        <w:br/>
      </w:r>
      <w:r>
        <w:rPr>
          <w:rStyle w:val="VerbatimChar"/>
        </w:rPr>
        <w:t xml:space="preserve">                       bytes32 prevRoot, bytes32 merkleRoot,</w:t>
      </w:r>
      <w:r>
        <w:rPr/>
        <w:br/>
      </w:r>
      <w:r>
        <w:rPr>
          <w:rStyle w:val="VerbatimChar"/>
        </w:rPr>
        <w:t xml:space="preserve">                       address writer, uint256 timestamp);</w:t>
      </w:r>
      <w:r>
        <w:rPr/>
        <w:br/>
      </w:r>
      <w:r>
        <w:rPr>
          <w:rStyle w:val="VerbatimChar"/>
        </w:rPr>
        <w:t>event ActiveRuntimeChanged(uint256 indexed tokenId, address indexed newRuntime,</w:t>
      </w:r>
      <w:r>
        <w:rPr/>
        <w:br/>
      </w:r>
      <w:r>
        <w:rPr>
          <w:rStyle w:val="VerbatimChar"/>
        </w:rPr>
        <w:t xml:space="preserve">                           address prevRuntime, uint256 timestamp);</w:t>
      </w:r>
      <w:r>
        <w:rPr/>
        <w:br/>
      </w:r>
      <w:r>
        <w:rPr>
          <w:rStyle w:val="VerbatimChar"/>
        </w:rPr>
        <w:t>event RuntimeResetOnTransfer(uint256 indexed tokenId, address indexed newOwner,</w:t>
      </w:r>
      <w:r>
        <w:rPr/>
        <w:br/>
      </w:r>
      <w:r>
        <w:rPr>
          <w:rStyle w:val="VerbatimChar"/>
        </w:rPr>
        <w:t xml:space="preserve">                             address prevOwner, address evictedRuntime);</w:t>
      </w:r>
    </w:p>
    <w:p>
      <w:pPr>
        <w:pStyle w:val="FirstParagraph"/>
        <w:rPr/>
      </w:pPr>
      <w:r>
        <w:rPr>
          <w:b/>
        </w:rPr>
        <w:t>Authorisation model.</w:t>
      </w:r>
      <w:r>
        <w:rPr/>
        <w:t xml:space="preserve"> The NFT owner is always authoritative. The current </w:t>
      </w:r>
      <w:r>
        <w:rPr>
          <w:rStyle w:val="VerbatimChar"/>
        </w:rPr>
        <w:t>activeRuntime</w:t>
      </w:r>
      <w:r>
        <w:rPr/>
        <w:t xml:space="preserve"> is a delegated writer — it can update </w:t>
      </w:r>
      <w:r>
        <w:rPr>
          <w:rStyle w:val="VerbatimChar"/>
        </w:rPr>
        <w:t>state_root</w:t>
      </w:r>
      <w:r>
        <w:rPr/>
        <w:t xml:space="preserve"> but cannot transfer activeRuntime to someone else. This separation lets a user grant temporary write authority to a runtime (e.g. a hosted service) without ceding NFT ownership.</w:t>
      </w:r>
    </w:p>
    <w:p>
      <w:pPr>
        <w:pStyle w:val="BodyText"/>
        <w:rPr/>
      </w:pPr>
      <w:r>
        <w:rPr>
          <w:b/>
        </w:rPr>
        <w:t>Lazy transfer detection.</w:t>
      </w:r>
      <w:r>
        <w:rPr/>
        <w:t xml:space="preserve"> Every state-mutating function runs a </w:t>
      </w:r>
      <w:r>
        <w:rPr>
          <w:rStyle w:val="VerbatimChar"/>
        </w:rPr>
        <w:t>resetIfTransferred</w:t>
      </w:r>
      <w:r>
        <w:rPr/>
        <w:t xml:space="preserve"> modifier: if </w:t>
      </w:r>
      <w:r>
        <w:rPr>
          <w:rStyle w:val="VerbatimChar"/>
        </w:rPr>
        <w:t>IdentityRegistry.ownerOf(tokenId)</w:t>
      </w:r>
      <w:r>
        <w:rPr/>
        <w:t xml:space="preserve"> differs from </w:t>
      </w:r>
      <w:r>
        <w:rPr>
          <w:rStyle w:val="VerbatimChar"/>
        </w:rPr>
        <w:t>lastKnownOwner</w:t>
      </w:r>
      <w:r>
        <w:rPr/>
        <w:t xml:space="preserve">, the contract evicts </w:t>
      </w:r>
      <w:r>
        <w:rPr>
          <w:rStyle w:val="VerbatimChar"/>
        </w:rPr>
        <w:t>activeRuntime</w:t>
      </w:r>
      <w:r>
        <w:rPr/>
        <w:t xml:space="preserve"> to </w:t>
      </w:r>
      <w:r>
        <w:rPr>
          <w:rStyle w:val="VerbatimChar"/>
        </w:rPr>
        <w:t>address(0)</w:t>
      </w:r>
      <w:r>
        <w:rPr/>
        <w:t xml:space="preserve"> and emits </w:t>
      </w:r>
      <w:r>
        <w:rPr>
          <w:rStyle w:val="VerbatimChar"/>
        </w:rPr>
        <w:t>RuntimeResetOnTransfer</w:t>
      </w:r>
      <w:r>
        <w:rPr/>
        <w:t>. The new owner must re-authorise a runtime explicitly. Full implementation in the reference repo.</w:t>
      </w:r>
    </w:p>
    <w:p>
      <w:pPr>
        <w:pStyle w:val="Heading4"/>
        <w:rPr/>
      </w:pPr>
      <w:bookmarkStart w:id="10" w:name="greenfield-bucket-convention"/>
      <w:r>
        <w:rPr/>
        <w:t>1.2 Greenfield bucket convention</w:t>
      </w:r>
      <w:bookmarkEnd w:id="10"/>
    </w:p>
    <w:p>
      <w:pPr>
        <w:pStyle w:val="FirstParagraph"/>
        <w:rPr/>
      </w:pPr>
      <w:r>
        <w:rPr/>
        <w:t>Each agent gets exactly one Greenfield bucket, named deterministically from the tokenId:</w:t>
      </w:r>
    </w:p>
    <w:p>
      <w:pPr>
        <w:pStyle w:val="SourceCode"/>
        <w:rPr/>
      </w:pPr>
      <w:r>
        <w:rPr>
          <w:rStyle w:val="VerbatimChar"/>
        </w:rPr>
        <w:t>bucket_name = "nexus-agent-{tokenId}"     # tokenId in decimal</w:t>
      </w:r>
    </w:p>
    <w:p>
      <w:pPr>
        <w:pStyle w:val="FirstParagraph"/>
        <w:rPr/>
      </w:pPr>
      <w:r>
        <w:rPr/>
        <w:t>Object layout:</w:t>
      </w:r>
    </w:p>
    <w:p>
      <w:pPr>
        <w:pStyle w:val="SourceCode"/>
        <w:rPr/>
      </w:pPr>
      <w:r>
        <w:rPr>
          <w:rStyle w:val="VerbatimChar"/>
        </w:rPr>
        <w:t>nexus-agent-{tokenId}/</w:t>
      </w:r>
      <w:r>
        <w:rPr/>
        <w:br/>
      </w:r>
      <w:r>
        <w:rPr>
          <w:rStyle w:val="VerbatimChar"/>
        </w:rPr>
        <w:t>├── manifest.json                       # latest anchor batch (current state_root)</w:t>
      </w:r>
      <w:r>
        <w:rPr/>
        <w:br/>
      </w:r>
      <w:r>
        <w:rPr>
          <w:rStyle w:val="VerbatimChar"/>
        </w:rPr>
        <w:t>├── events/0000000000000001.json        # append-only EventLog</w:t>
      </w:r>
      <w:r>
        <w:rPr/>
        <w:br/>
      </w:r>
      <w:r>
        <w:rPr>
          <w:rStyle w:val="VerbatimChar"/>
        </w:rPr>
        <w:t>├── events/0000000000000002.json</w:t>
      </w:r>
      <w:r>
        <w:rPr/>
        <w:br/>
      </w:r>
      <w:r>
        <w:rPr>
          <w:rStyle w:val="VerbatimChar"/>
        </w:rPr>
        <w:t>├── memory/curated/{key}.json           # distilled memories</w:t>
      </w:r>
      <w:r>
        <w:rPr/>
        <w:br/>
      </w:r>
      <w:r>
        <w:rPr>
          <w:rStyle w:val="VerbatimChar"/>
        </w:rPr>
        <w:t>├── memory/compacts/{seq}.json          # compactor outputs</w:t>
      </w:r>
      <w:r>
        <w:rPr/>
        <w:br/>
      </w:r>
      <w:r>
        <w:rPr>
          <w:rStyle w:val="VerbatimChar"/>
        </w:rPr>
        <w:t>├── state/checkpoint.json               # latest snapshot for fast resume</w:t>
      </w:r>
      <w:r>
        <w:rPr/>
        <w:br/>
      </w:r>
      <w:r>
        <w:rPr>
          <w:rStyle w:val="VerbatimChar"/>
        </w:rPr>
        <w:t>├── tasks/{taskId}.json                 # intra-agent task records</w:t>
      </w:r>
      <w:r>
        <w:rPr/>
        <w:br/>
      </w:r>
      <w:r>
        <w:rPr>
          <w:rStyle w:val="VerbatimChar"/>
        </w:rPr>
        <w:t>├── jobs/{acp_job_id}.json              # OPT — ERC-8183 mirror (§4)</w:t>
      </w:r>
      <w:r>
        <w:rPr/>
        <w:br/>
      </w:r>
      <w:r>
        <w:rPr>
          <w:rStyle w:val="VerbatimChar"/>
        </w:rPr>
        <w:t>└── attestations/{acp_job_id}.json      # OPT — when this agent evaluates (§4)</w:t>
      </w:r>
    </w:p>
    <w:p>
      <w:pPr>
        <w:pStyle w:val="FirstParagraph"/>
        <w:rPr/>
      </w:pPr>
      <w:r>
        <w:rPr/>
        <w:t xml:space="preserve">Object names use zero-padded 16-digit sequence numbers so lexicographic listing matches insertion order. Bucket owner is the NFT-owning wallet; read access is granted to </w:t>
      </w:r>
      <w:r>
        <w:rPr>
          <w:rStyle w:val="VerbatimChar"/>
        </w:rPr>
        <w:t>activeRuntime</w:t>
      </w:r>
      <w:r>
        <w:rPr/>
        <w:t xml:space="preserve"> and optionally to auditors via Greenfield’s policy primitives.</w:t>
      </w:r>
    </w:p>
    <w:p>
      <w:pPr>
        <w:pStyle w:val="Heading4"/>
        <w:rPr/>
      </w:pPr>
      <w:bookmarkStart w:id="11" w:name="manifest-schema-nexus.sync.batch.v1"/>
      <w:r>
        <w:rPr/>
        <w:t xml:space="preserve">1.3 Manifest schema — </w:t>
      </w:r>
      <w:r>
        <w:rPr>
          <w:rStyle w:val="VerbatimChar"/>
        </w:rPr>
        <w:t>nexus.sync.batch.v1</w:t>
      </w:r>
      <w:bookmarkEnd w:id="11"/>
    </w:p>
    <w:p>
      <w:pPr>
        <w:pStyle w:val="FirstParagraph"/>
        <w:rPr/>
      </w:pPr>
      <w:r>
        <w:rPr>
          <w:rStyle w:val="VerbatimChar"/>
        </w:rPr>
        <w:t>manifest.json</w:t>
      </w:r>
      <w:r>
        <w:rPr/>
        <w:t xml:space="preserve"> is the bridge: SHA-256 of its JCS-canonical bytes equals the on-chain </w:t>
      </w:r>
      <w:r>
        <w:rPr>
          <w:rStyle w:val="VerbatimChar"/>
        </w:rPr>
        <w:t>state_root</w:t>
      </w:r>
      <w:r>
        <w:rPr/>
        <w:t>.</w:t>
      </w:r>
    </w:p>
    <w:p>
      <w:pPr>
        <w:pStyle w:val="BodyText"/>
        <w:rPr/>
      </w:pPr>
      <w:r>
        <w:rPr/>
        <w:t>Required fields:</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"nexus.sync.batch.v1"</w:t>
      </w:r>
      <w:r>
        <w:rPr>
          <w:rStyle w:val="FunctionTok"/>
        </w:rPr>
        <w:t>,</w:t>
      </w:r>
      <w:r>
        <w:rPr/>
        <w:br/>
      </w:r>
      <w:r>
        <w:rPr>
          <w:rStyle w:val="NormalTok"/>
        </w:rPr>
        <w:t xml:space="preserve">  </w:t>
      </w:r>
      <w:r>
        <w:rPr>
          <w:rStyle w:val="DataTypeTok"/>
        </w:rPr>
        <w:t>"user_id"</w:t>
      </w:r>
      <w:r>
        <w:rPr>
          <w:rStyle w:val="FunctionTok"/>
        </w:rPr>
        <w:t>:</w:t>
      </w:r>
      <w:r>
        <w:rPr>
          <w:rStyle w:val="NormalTok"/>
        </w:rPr>
        <w:t xml:space="preserve">   </w:t>
      </w:r>
      <w:r>
        <w:rPr>
          <w:rStyle w:val="StringTok"/>
        </w:rPr>
        <w:t>"uuid"</w:t>
      </w:r>
      <w:r>
        <w:rPr>
          <w:rStyle w:val="FunctionTok"/>
        </w:rPr>
        <w:t>,</w:t>
      </w:r>
      <w:r>
        <w:rPr/>
        <w:br/>
      </w:r>
      <w:r>
        <w:rPr>
          <w:rStyle w:val="NormalTok"/>
        </w:rPr>
        <w:t xml:space="preserve">  </w:t>
      </w:r>
      <w:r>
        <w:rPr>
          <w:rStyle w:val="DataTypeTok"/>
        </w:rPr>
        <w:t>"events"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EventLog</w:t>
      </w:r>
      <w:r>
        <w:rPr>
          <w:rStyle w:val="NormalTok"/>
        </w:rPr>
        <w:t xml:space="preserve"> </w:t>
      </w:r>
      <w:r>
        <w:rPr>
          <w:rStyle w:val="ErrorTok"/>
        </w:rPr>
        <w:t>entries</w:t>
      </w:r>
      <w:r>
        <w:rPr>
          <w:rStyle w:val="NormalTok"/>
        </w:rPr>
        <w:t xml:space="preserve"> </w:t>
      </w:r>
      <w:r>
        <w:rPr>
          <w:rStyle w:val="ErrorTok"/>
        </w:rPr>
        <w:t>—</w:t>
      </w:r>
      <w:r>
        <w:rPr>
          <w:rStyle w:val="NormalTok"/>
        </w:rPr>
        <w:t xml:space="preserve"> </w:t>
      </w:r>
      <w:r>
        <w:rPr>
          <w:rStyle w:val="ErrorTok"/>
        </w:rPr>
        <w:t>see</w:t>
      </w:r>
      <w:r>
        <w:rPr>
          <w:rStyle w:val="NormalTok"/>
        </w:rPr>
        <w:t xml:space="preserve"> </w:t>
      </w:r>
      <w:r>
        <w:rPr>
          <w:rStyle w:val="ErrorTok"/>
        </w:rPr>
        <w:t>§</w:t>
      </w:r>
      <w:r>
        <w:rPr>
          <w:rStyle w:val="FloatTok"/>
        </w:rPr>
        <w:t>3.3</w:t>
      </w:r>
      <w:r>
        <w:rPr>
          <w:rStyle w:val="NormalTok"/>
        </w:rPr>
        <w:t xml:space="preserve"> </w:t>
      </w:r>
      <w:r>
        <w:rPr>
          <w:rStyle w:val="ErrorTok"/>
        </w:rPr>
        <w:t>for</w:t>
      </w:r>
      <w:r>
        <w:rPr>
          <w:rStyle w:val="NormalTok"/>
        </w:rPr>
        <w:t xml:space="preserve"> </w:t>
      </w:r>
      <w:r>
        <w:rPr>
          <w:rStyle w:val="ErrorTok"/>
        </w:rPr>
        <w:t>event</w:t>
      </w:r>
      <w:r>
        <w:rPr>
          <w:rStyle w:val="NormalTok"/>
        </w:rPr>
        <w:t xml:space="preserve"> </w:t>
      </w:r>
      <w:r>
        <w:rPr>
          <w:rStyle w:val="ErrorTok"/>
        </w:rPr>
        <w:t>types</w:t>
      </w:r>
      <w:r>
        <w:rPr>
          <w:rStyle w:val="NormalTok"/>
        </w:rPr>
        <w:t xml:space="preserve"> </w:t>
      </w:r>
      <w:r>
        <w:rPr>
          <w:rStyle w:val="ErrorTok"/>
        </w:rPr>
        <w:t>*/</w:t>
      </w:r>
      <w:r>
        <w:rPr>
          <w:rStyle w:val="NormalTok"/>
        </w:rPr>
        <w:t xml:space="preserve"> </w:t>
      </w:r>
      <w:r>
        <w:rPr>
          <w:rStyle w:val="OtherTok"/>
        </w:rPr>
        <w:t>]</w:t>
      </w:r>
      <w:r>
        <w:rPr>
          <w:rStyle w:val="FunctionTok"/>
        </w:rPr>
        <w:t>,</w:t>
      </w:r>
      <w:r>
        <w:rPr/>
        <w:br/>
      </w:r>
      <w:r>
        <w:rPr>
          <w:rStyle w:val="NormalTok"/>
        </w:rPr>
        <w:t xml:space="preserve">  </w:t>
      </w:r>
      <w:r>
        <w:rPr>
          <w:rStyle w:val="DataTypeTok"/>
        </w:rPr>
        <w:t>"sync_ids"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ErrorTok"/>
        </w:rPr>
        <w:t>matching</w:t>
      </w:r>
      <w:r>
        <w:rPr>
          <w:rStyle w:val="NormalTok"/>
        </w:rPr>
        <w:t xml:space="preserve"> </w:t>
      </w:r>
      <w:r>
        <w:rPr>
          <w:rStyle w:val="ErrorTok"/>
        </w:rPr>
        <w:t>sync_id</w:t>
      </w:r>
      <w:r>
        <w:rPr>
          <w:rStyle w:val="NormalTok"/>
        </w:rPr>
        <w:t xml:space="preserve"> </w:t>
      </w:r>
      <w:r>
        <w:rPr>
          <w:rStyle w:val="ErrorTok"/>
        </w:rPr>
        <w:t>values</w:t>
      </w:r>
      <w:r>
        <w:rPr>
          <w:rStyle w:val="NormalTok"/>
        </w:rPr>
        <w:t xml:space="preserve"> </w:t>
      </w:r>
      <w:r>
        <w:rPr>
          <w:rStyle w:val="ErrorTok"/>
        </w:rPr>
        <w:t>*/</w:t>
      </w:r>
      <w:r>
        <w:rPr>
          <w:rStyle w:val="NormalTok"/>
        </w:rPr>
        <w:t xml:space="preserve"> </w:t>
      </w:r>
      <w:r>
        <w:rPr>
          <w:rStyle w:val="OtherTok"/>
        </w:rPr>
        <w:t>]</w:t>
      </w:r>
      <w:r>
        <w:rPr>
          <w:rStyle w:val="FunctionTok"/>
        </w:rPr>
        <w:t>,</w:t>
      </w:r>
      <w:r>
        <w:rPr/>
        <w:br/>
      </w:r>
      <w:r>
        <w:rPr>
          <w:rStyle w:val="NormalTok"/>
        </w:rPr>
        <w:t xml:space="preserve">  </w:t>
      </w:r>
      <w:r>
        <w:rPr>
          <w:rStyle w:val="DataTypeTok"/>
        </w:rPr>
        <w:t>"prev_root"</w:t>
      </w:r>
      <w:r>
        <w:rPr>
          <w:rStyle w:val="FunctionTok"/>
        </w:rPr>
        <w:t>:</w:t>
      </w:r>
      <w:r>
        <w:rPr>
          <w:rStyle w:val="NormalTok"/>
        </w:rPr>
        <w:t xml:space="preserve"> </w:t>
      </w:r>
      <w:r>
        <w:rPr>
          <w:rStyle w:val="StringTok"/>
        </w:rPr>
        <w:t>"0x... (previous state_root; forms a hash chain)"</w:t>
      </w:r>
      <w:r>
        <w:rPr/>
        <w:br/>
      </w:r>
      <w:r>
        <w:rPr>
          <w:rStyle w:val="FunctionTok"/>
        </w:rPr>
        <w:t>}</w:t>
      </w:r>
    </w:p>
    <w:p>
      <w:pPr>
        <w:pStyle w:val="FirstParagraph"/>
        <w:rPr/>
      </w:pPr>
      <w:r>
        <w:rPr>
          <w:b/>
        </w:rPr>
        <w:t>Canonicalisation.</w:t>
      </w:r>
      <w:r>
        <w:rPr/>
        <w:t xml:space="preserve"> Manifests MUST be serialised via </w:t>
      </w:r>
      <w:r>
        <w:rPr>
          <w:b/>
        </w:rPr>
        <w:t>RFC 8785 JSON Canonicalization Scheme (JCS)</w:t>
      </w:r>
      <w:r>
        <w:rPr/>
        <w:t xml:space="preserve"> before hashing. JCS pins number serialisation, Unicode normalisation, escape forms, and key ordering for nested objects so two compliant encoders produce byte-identical output for the same logical document. Use </w:t>
      </w:r>
      <w:r>
        <w:rPr>
          <w:rStyle w:val="VerbatimChar"/>
        </w:rPr>
        <w:t>jcs</w:t>
      </w:r>
      <w:r>
        <w:rPr/>
        <w:t xml:space="preserve"> (Python), </w:t>
      </w:r>
      <w:r>
        <w:rPr>
          <w:rStyle w:val="VerbatimChar"/>
        </w:rPr>
        <w:t>canonicalize</w:t>
      </w:r>
      <w:r>
        <w:rPr/>
        <w:t xml:space="preserve"> (JS), or </w:t>
      </w:r>
      <w:r>
        <w:rPr>
          <w:rStyle w:val="VerbatimChar"/>
        </w:rPr>
        <w:t>github.com/cyberphone/json-canonicalization</w:t>
      </w:r>
      <w:r>
        <w:rPr/>
        <w:t xml:space="preserve"> (Go). After canonicalisation, take SHA-256 of the bytes — this is </w:t>
      </w:r>
      <w:r>
        <w:rPr>
          <w:rStyle w:val="VerbatimChar"/>
        </w:rPr>
        <w:t>state_root</w:t>
      </w:r>
      <w:r>
        <w:rPr/>
        <w:t>.</w:t>
      </w:r>
    </w:p>
    <w:p>
      <w:pPr>
        <w:pStyle w:val="BodyText"/>
        <w:rPr/>
      </w:pPr>
      <w:r>
        <w:rPr>
          <w:rStyle w:val="VerbatimChar"/>
        </w:rPr>
        <w:t>prev_root</w:t>
      </w:r>
      <w:r>
        <w:rPr/>
        <w:t xml:space="preserve"> chains manifests so a verifier can walk back through history and detect any silent reorg.</w:t>
      </w:r>
    </w:p>
    <w:p>
      <w:pPr>
        <w:pStyle w:val="Heading4"/>
        <w:rPr/>
      </w:pPr>
      <w:bookmarkStart w:id="12" w:name="lifecycle"/>
      <w:r>
        <w:rPr/>
        <w:t>1.4 Lifecycle</w:t>
      </w:r>
      <w:bookmarkEnd w:id="12"/>
    </w:p>
    <w:p>
      <w:pPr>
        <w:pStyle w:val="FirstParagraph"/>
        <w:rPr/>
      </w:pPr>
      <w:r>
        <w:rPr>
          <w:b/>
        </w:rPr>
        <w:t>Bootstrap (first run for a wallet).</w:t>
      </w:r>
    </w:p>
    <w:p>
      <w:pPr>
        <w:pStyle w:val="Compact"/>
        <w:numPr>
          <w:ilvl w:val="0"/>
          <w:numId w:val="19"/>
        </w:numPr>
        <w:rPr/>
      </w:pPr>
      <w:r>
        <w:rPr/>
        <w:t xml:space="preserve">Runtime calls </w:t>
      </w:r>
      <w:r>
        <w:rPr>
          <w:rStyle w:val="VerbatimChar"/>
        </w:rPr>
        <w:t>IdentityRegistry.register(wallet, agentURI)</w:t>
      </w:r>
      <w:r>
        <w:rPr/>
        <w:t xml:space="preserve"> → tokenId.</w:t>
      </w:r>
    </w:p>
    <w:p>
      <w:pPr>
        <w:pStyle w:val="Compact"/>
        <w:numPr>
          <w:ilvl w:val="0"/>
          <w:numId w:val="3"/>
        </w:numPr>
        <w:rPr/>
      </w:pPr>
      <w:r>
        <w:rPr/>
        <w:t xml:space="preserve">Runtime creates bucket </w:t>
      </w:r>
      <w:r>
        <w:rPr>
          <w:rStyle w:val="VerbatimChar"/>
        </w:rPr>
        <w:t>nexus-agent-{tokenId}</w:t>
      </w:r>
      <w:r>
        <w:rPr/>
        <w:t>, sets owner=wallet, grants activeRuntime read+write.</w:t>
      </w:r>
    </w:p>
    <w:p>
      <w:pPr>
        <w:pStyle w:val="Compact"/>
        <w:numPr>
          <w:ilvl w:val="0"/>
          <w:numId w:val="3"/>
        </w:numPr>
        <w:rPr/>
      </w:pPr>
      <w:r>
        <w:rPr/>
        <w:t xml:space="preserve">Runtime calls </w:t>
      </w:r>
      <w:r>
        <w:rPr>
          <w:rStyle w:val="VerbatimChar"/>
        </w:rPr>
        <w:t>setActiveRuntime(tokenId, runtimeAddress)</w:t>
      </w:r>
      <w:r>
        <w:rPr/>
        <w:t>.</w:t>
      </w:r>
    </w:p>
    <w:p>
      <w:pPr>
        <w:pStyle w:val="Compact"/>
        <w:numPr>
          <w:ilvl w:val="0"/>
          <w:numId w:val="3"/>
        </w:numPr>
        <w:rPr/>
      </w:pPr>
      <w:r>
        <w:rPr/>
        <w:t xml:space="preserve">Runtime publishes empty manifest, calls </w:t>
      </w:r>
      <w:r>
        <w:rPr>
          <w:rStyle w:val="VerbatimChar"/>
        </w:rPr>
        <w:t>updateStateRoot(tokenId, hash, 0x0)</w:t>
      </w:r>
      <w:r>
        <w:rPr/>
        <w:t>.</w:t>
      </w:r>
    </w:p>
    <w:p>
      <w:pPr>
        <w:pStyle w:val="FirstParagraph"/>
        <w:rPr/>
      </w:pPr>
      <w:r>
        <w:rPr>
          <w:b/>
        </w:rPr>
        <w:t>Routine update (every N events).</w:t>
      </w:r>
    </w:p>
    <w:p>
      <w:pPr>
        <w:pStyle w:val="Compact"/>
        <w:numPr>
          <w:ilvl w:val="0"/>
          <w:numId w:val="20"/>
        </w:numPr>
        <w:rPr/>
      </w:pPr>
      <w:r>
        <w:rPr/>
        <w:t>Append events to local EventLog.</w:t>
      </w:r>
    </w:p>
    <w:p>
      <w:pPr>
        <w:pStyle w:val="Compact"/>
        <w:numPr>
          <w:ilvl w:val="0"/>
          <w:numId w:val="3"/>
        </w:numPr>
        <w:rPr/>
      </w:pPr>
      <w:r>
        <w:rPr/>
        <w:t>Compactor builds new manifest, uploads to Greenfield, hashes it.</w:t>
      </w:r>
    </w:p>
    <w:p>
      <w:pPr>
        <w:pStyle w:val="Compact"/>
        <w:numPr>
          <w:ilvl w:val="0"/>
          <w:numId w:val="3"/>
        </w:numPr>
        <w:rPr/>
      </w:pPr>
      <w:r>
        <w:rPr/>
        <w:t xml:space="preserve">Call </w:t>
      </w:r>
      <w:r>
        <w:rPr>
          <w:rStyle w:val="VerbatimChar"/>
        </w:rPr>
        <w:t>updateStateRoot(tokenId, newRoot, …)</w:t>
      </w:r>
      <w:r>
        <w:rPr/>
        <w:t>.</w:t>
      </w:r>
    </w:p>
    <w:p>
      <w:pPr>
        <w:pStyle w:val="Compact"/>
        <w:numPr>
          <w:ilvl w:val="0"/>
          <w:numId w:val="3"/>
        </w:numPr>
        <w:rPr/>
      </w:pPr>
      <w:r>
        <w:rPr/>
        <w:t>Local replication catches up.</w:t>
      </w:r>
    </w:p>
    <w:p>
      <w:pPr>
        <w:pStyle w:val="FirstParagraph"/>
        <w:rPr/>
      </w:pPr>
      <w:r>
        <w:rPr>
          <w:b/>
        </w:rPr>
        <w:t>Cross-runtime handoff.</w:t>
      </w:r>
    </w:p>
    <w:p>
      <w:pPr>
        <w:pStyle w:val="SourceCode"/>
        <w:rPr/>
      </w:pPr>
      <w:r>
        <w:rPr>
          <w:rStyle w:val="VerbatimChar"/>
        </w:rPr>
        <w:t>runtime A                 BSC                 runtime B</w:t>
      </w:r>
      <w:r>
        <w:rPr/>
        <w:br/>
      </w:r>
      <w:r>
        <w:rPr>
          <w:rStyle w:val="VerbatimChar"/>
        </w:rPr>
        <w:t xml:space="preserve">   │  drain in-flight       │                    │</w:t>
      </w:r>
      <w:r>
        <w:rPr/>
        <w:br/>
      </w:r>
      <w:r>
        <w:rPr>
          <w:rStyle w:val="VerbatimChar"/>
        </w:rPr>
        <w:t xml:space="preserve">   │  stop                  │                    │</w:t>
      </w:r>
      <w:r>
        <w:rPr/>
        <w:br/>
      </w:r>
      <w:r>
        <w:rPr>
          <w:rStyle w:val="VerbatimChar"/>
        </w:rPr>
        <w:t xml:space="preserve">   │                        │  setActiveRuntime  │</w:t>
      </w:r>
      <w:r>
        <w:rPr/>
        <w:br/>
      </w:r>
      <w:r>
        <w:rPr>
          <w:rStyle w:val="VerbatimChar"/>
        </w:rPr>
        <w:t xml:space="preserve">   │                        │◀───────────────────┤  (signed by NFT owner)</w:t>
      </w:r>
      <w:r>
        <w:rPr/>
        <w:br/>
      </w:r>
      <w:r>
        <w:rPr>
          <w:rStyle w:val="VerbatimChar"/>
        </w:rPr>
        <w:t xml:space="preserve">   │                        │                    │</w:t>
      </w:r>
      <w:r>
        <w:rPr/>
        <w:br/>
      </w:r>
      <w:r>
        <w:rPr>
          <w:rStyle w:val="VerbatimChar"/>
        </w:rPr>
        <w:t xml:space="preserve">   │                        │  getState(tokenId) │</w:t>
      </w:r>
      <w:r>
        <w:rPr/>
        <w:br/>
      </w:r>
      <w:r>
        <w:rPr>
          <w:rStyle w:val="VerbatimChar"/>
        </w:rPr>
        <w:t xml:space="preserve">   │                        ├───────────────────▶│</w:t>
      </w:r>
      <w:r>
        <w:rPr/>
        <w:br/>
      </w:r>
      <w:r>
        <w:rPr>
          <w:rStyle w:val="VerbatimChar"/>
        </w:rPr>
        <w:t xml:space="preserve">   │                        │                    │  fetch manifest.json,</w:t>
      </w:r>
      <w:r>
        <w:rPr/>
        <w:br/>
      </w:r>
      <w:r>
        <w:rPr>
          <w:rStyle w:val="VerbatimChar"/>
        </w:rPr>
        <w:t xml:space="preserve">   │                        │                    │  verify SHA-256 == stateRoot,</w:t>
      </w:r>
      <w:r>
        <w:rPr/>
        <w:br/>
      </w:r>
      <w:r>
        <w:rPr>
          <w:rStyle w:val="VerbatimChar"/>
        </w:rPr>
        <w:t xml:space="preserve">   │                        │                    │  replay events,</w:t>
      </w:r>
      <w:r>
        <w:rPr/>
        <w:br/>
      </w:r>
      <w:r>
        <w:rPr>
          <w:rStyle w:val="VerbatimChar"/>
        </w:rPr>
        <w:t xml:space="preserve">   │                        │                    │  resume.</w:t>
      </w:r>
    </w:p>
    <w:p>
      <w:pPr>
        <w:pStyle w:val="FirstParagraph"/>
        <w:rPr/>
      </w:pPr>
      <w:r>
        <w:rPr/>
        <w:t>No off-chain coordination — the chain is the synchronisation point.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 w:name="identity-anchored"/>
      <w:r>
        <w:rPr/>
        <w:t>§2 — Identity-anchored</w:t>
      </w:r>
      <w:bookmarkEnd w:id="13"/>
    </w:p>
    <w:p>
      <w:pPr>
        <w:pStyle w:val="FirstParagraph"/>
        <w:rPr/>
      </w:pPr>
      <w:r>
        <w:rPr/>
        <w:t>Identity is delegated entirely to ERC-8004. Nexus does not mint a new NFT, does not fork the registry, does not introduce a parallel ID. It introduces only a layered three-ID model so chain identity, on-chain operations, and runtime APIs each have the right representation.</w:t>
      </w:r>
    </w:p>
    <w:p>
      <w:pPr>
        <w:pStyle w:val="Heading4"/>
        <w:rPr/>
      </w:pPr>
      <w:bookmarkStart w:id="14" w:name="three-id-model"/>
      <w:r>
        <w:rPr/>
        <w:t>2.1 Three-ID model</w:t>
      </w:r>
      <w:bookmarkEnd w:id="14"/>
    </w:p>
    <w:tbl>
      <w:tblPr>
        <w:tblStyle w:val="Table"/>
        <w:tblW w:w="5000" w:type="pct"/>
        <w:jc w:val="start"/>
        <w:tblInd w:w="0" w:type="dxa"/>
        <w:tblLayout w:type="fixed"/>
        <w:tblCellMar>
          <w:top w:w="0" w:type="dxa"/>
          <w:start w:w="108" w:type="dxa"/>
          <w:bottom w:w="0" w:type="dxa"/>
          <w:end w:w="108" w:type="dxa"/>
        </w:tblCellMar>
        <w:tblLook w:firstRow="1"/>
      </w:tblPr>
      <w:tblGrid>
        <w:gridCol w:w="1487"/>
        <w:gridCol w:w="699"/>
        <w:gridCol w:w="3850"/>
        <w:gridCol w:w="3324"/>
      </w:tblGrid>
      <w:tr>
        <w:trPr>
          <w:cnfStyle w:firstRow="1"/>
        </w:trPr>
        <w:tc>
          <w:tcPr>
            <w:tcW w:w="148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69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85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32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1487"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wallet_address</w:t>
            </w:r>
          </w:p>
        </w:tc>
        <w:tc>
          <w:tcPr>
            <w:tcW w:w="69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w:t>
            </w:r>
          </w:p>
        </w:tc>
        <w:tc>
          <w:tcPr>
            <w:tcW w:w="385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BSC EOA / smart account</w:t>
            </w:r>
          </w:p>
        </w:tc>
        <w:tc>
          <w:tcPr>
            <w:tcW w:w="332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Owns the NFT, signs transactions.</w:t>
            </w:r>
          </w:p>
        </w:tc>
      </w:tr>
      <w:tr>
        <w:trPr/>
        <w:tc>
          <w:tcPr>
            <w:tcW w:w="1487"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tokenId</w:t>
            </w:r>
          </w:p>
        </w:tc>
        <w:tc>
          <w:tcPr>
            <w:tcW w:w="69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w:t>
            </w:r>
          </w:p>
        </w:tc>
        <w:tc>
          <w:tcPr>
            <w:tcW w:w="385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ERC-8004 Identity Registry NFT</w:t>
            </w:r>
          </w:p>
        </w:tc>
        <w:tc>
          <w:tcPr>
            <w:tcW w:w="332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agent’s eternal on-chain id.</w:t>
            </w:r>
          </w:p>
        </w:tc>
      </w:tr>
      <w:tr>
        <w:trPr/>
        <w:tc>
          <w:tcPr>
            <w:tcW w:w="1487"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agentId</w:t>
            </w:r>
          </w:p>
        </w:tc>
        <w:tc>
          <w:tcPr>
            <w:tcW w:w="69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Runtime</w:t>
            </w:r>
          </w:p>
        </w:tc>
        <w:tc>
          <w:tcPr>
            <w:tcW w:w="385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from tokenId (or chosen string)</w:t>
            </w:r>
          </w:p>
        </w:tc>
        <w:tc>
          <w:tcPr>
            <w:tcW w:w="332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Application-level handle in runtime APIs.</w:t>
            </w:r>
          </w:p>
        </w:tc>
      </w:tr>
    </w:tbl>
    <w:p>
      <w:pPr>
        <w:pStyle w:val="BodyText"/>
        <w:rPr/>
      </w:pPr>
      <w:r>
        <w:rPr/>
        <w:t xml:space="preserve">For chain-bound agents, </w:t>
      </w:r>
      <w:r>
        <w:rPr>
          <w:rStyle w:val="VerbatimChar"/>
        </w:rPr>
        <w:t>agentId = agent_id_to_int(tokenId)</w:t>
      </w:r>
      <w:r>
        <w:rPr/>
        <w:t xml:space="preserve"> (a deterministic 256-bit hash) so the runtime can address agents by stable string while reads still hit the right tokenId on chain. For local-only / off-chain agents, the operator may choose any string.</w:t>
      </w:r>
    </w:p>
    <w:p>
      <w:pPr>
        <w:pStyle w:val="SourceCode"/>
        <w:rPr/>
      </w:pPr>
      <w:r>
        <w:rPr>
          <w:rStyle w:val="VerbatimChar"/>
        </w:rPr>
        <w:t xml:space="preserve">   </w:t>
      </w:r>
      <w:r>
        <w:rPr>
          <w:rStyle w:val="VerbatimChar"/>
        </w:rPr>
        <w:t>wallet_address  ─owns─▶  tokenId  ─derives─▶  agentId</w:t>
      </w:r>
      <w:r>
        <w:rPr/>
        <w:br/>
      </w:r>
      <w:r>
        <w:rPr>
          <w:rStyle w:val="VerbatimChar"/>
        </w:rPr>
        <w:t xml:space="preserve">   (trust layer)            (identity layer)    (handle layer)</w:t>
      </w:r>
      <w:r>
        <w:rPr/>
        <w:br/>
        <w:br/>
      </w:r>
      <w:r>
        <w:rPr>
          <w:rStyle w:val="VerbatimChar"/>
        </w:rPr>
        <w:t xml:space="preserve">   transferable             eternal             stable string</w:t>
      </w:r>
      <w:r>
        <w:rPr/>
        <w:br/>
      </w:r>
      <w:r>
        <w:rPr>
          <w:rStyle w:val="VerbatimChar"/>
        </w:rPr>
        <w:t xml:space="preserve">   recoverable              uniquely on-chain   stable across runtimes</w:t>
      </w:r>
    </w:p>
    <w:p>
      <w:pPr>
        <w:pStyle w:val="FirstParagraph"/>
        <w:rPr/>
      </w:pPr>
      <w:r>
        <w:rPr/>
        <w:t>Conflating these — as some chain-native agent specs do — makes it hard to support flows like account abstraction, social recovery, or non-custodial vs. custodial runtimes.</w:t>
      </w:r>
    </w:p>
    <w:p>
      <w:pPr>
        <w:pStyle w:val="Heading4"/>
        <w:rPr/>
      </w:pPr>
      <w:bookmarkStart w:id="15" w:name="nft-transfer-semantics"/>
      <w:r>
        <w:rPr/>
        <w:t>2.2 NFT transfer semantics</w:t>
      </w:r>
      <w:bookmarkEnd w:id="15"/>
    </w:p>
    <w:p>
      <w:pPr>
        <w:pStyle w:val="FirstParagraph"/>
        <w:rPr/>
      </w:pPr>
      <w:r>
        <w:rPr/>
        <w:t>When the ERC-8004 NFT changes hands:</w:t>
      </w:r>
    </w:p>
    <w:p>
      <w:pPr>
        <w:pStyle w:val="Compact"/>
        <w:numPr>
          <w:ilvl w:val="0"/>
          <w:numId w:val="21"/>
        </w:numPr>
        <w:rPr/>
      </w:pPr>
      <w:r>
        <w:rPr/>
        <w:t xml:space="preserve">Next state-mutating call to </w:t>
      </w:r>
      <w:r>
        <w:rPr>
          <w:rStyle w:val="VerbatimChar"/>
        </w:rPr>
        <w:t>AgentStateExtension</w:t>
      </w:r>
      <w:r>
        <w:rPr/>
        <w:t xml:space="preserve"> runs the </w:t>
      </w:r>
      <w:r>
        <w:rPr>
          <w:rStyle w:val="VerbatimChar"/>
        </w:rPr>
        <w:t>resetIfTransferred</w:t>
      </w:r>
      <w:r>
        <w:rPr/>
        <w:t xml:space="preserve"> modifier.</w:t>
      </w:r>
    </w:p>
    <w:p>
      <w:pPr>
        <w:pStyle w:val="Compact"/>
        <w:numPr>
          <w:ilvl w:val="0"/>
          <w:numId w:val="3"/>
        </w:numPr>
        <w:rPr/>
      </w:pPr>
      <w:r>
        <w:rPr/>
        <w:t xml:space="preserve">The modifier observes </w:t>
      </w:r>
      <w:r>
        <w:rPr>
          <w:rStyle w:val="VerbatimChar"/>
        </w:rPr>
        <w:t>ownerOf(tokenId) != lastKnownOwner</w:t>
      </w:r>
      <w:r>
        <w:rPr/>
        <w:t xml:space="preserve">, evicts </w:t>
      </w:r>
      <w:r>
        <w:rPr>
          <w:rStyle w:val="VerbatimChar"/>
        </w:rPr>
        <w:t>activeRuntime</w:t>
      </w:r>
      <w:r>
        <w:rPr/>
        <w:t xml:space="preserve"> to </w:t>
      </w:r>
      <w:r>
        <w:rPr>
          <w:rStyle w:val="VerbatimChar"/>
        </w:rPr>
        <w:t>address(0)</w:t>
      </w:r>
      <w:r>
        <w:rPr/>
        <w:t xml:space="preserve">, emits </w:t>
      </w:r>
      <w:r>
        <w:rPr>
          <w:rStyle w:val="VerbatimChar"/>
        </w:rPr>
        <w:t>RuntimeResetOnTransfer</w:t>
      </w:r>
      <w:r>
        <w:rPr/>
        <w:t>.</w:t>
      </w:r>
    </w:p>
    <w:p>
      <w:pPr>
        <w:pStyle w:val="Compact"/>
        <w:numPr>
          <w:ilvl w:val="0"/>
          <w:numId w:val="3"/>
        </w:numPr>
        <w:rPr/>
      </w:pPr>
      <w:r>
        <w:rPr/>
        <w:t xml:space="preserve">The new owner MUST explicitly call </w:t>
      </w:r>
      <w:r>
        <w:rPr>
          <w:rStyle w:val="VerbatimChar"/>
        </w:rPr>
        <w:t>setActiveRuntime</w:t>
      </w:r>
      <w:r>
        <w:rPr/>
        <w:t xml:space="preserve"> before any state writes resume.</w:t>
      </w:r>
    </w:p>
    <w:p>
      <w:pPr>
        <w:pStyle w:val="FirstParagraph"/>
        <w:rPr/>
      </w:pPr>
      <w:r>
        <w:rPr/>
        <w:t xml:space="preserve">This means an agent can be </w:t>
      </w:r>
      <w:r>
        <w:rPr>
          <w:b/>
        </w:rPr>
        <w:t>sold or transferred without exposing the previous owner’s runtime credentials</w:t>
      </w:r>
      <w:r>
        <w:rPr/>
        <w:t xml:space="preserve"> — the new owner gets a clean slate at the runtime layer while keeping the full event-log history (which is owner-keyed Greenfield, transferable separately or jointly).</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 w:name="self-evolving"/>
      <w:r>
        <w:rPr/>
        <w:t>§3 — Self-evolving</w:t>
      </w:r>
      <w:bookmarkEnd w:id="16"/>
    </w:p>
    <w:p>
      <w:pPr>
        <w:pStyle w:val="FirstParagraph"/>
        <w:rPr/>
      </w:pPr>
      <w:r>
        <w:rPr/>
        <w:t>A “self-evolving” agent that can mutate its own memory, skills, or persona without leaving an audit trail is indistinguishable from a broken one. Nexus pins every evolver edit on the same hash chain as user messages, scores it against real outcomes after a window, and gives the user a clear approve / revert surface.</w:t>
      </w:r>
    </w:p>
    <w:p>
      <w:pPr>
        <w:pStyle w:val="SourceCode"/>
        <w:rPr/>
      </w:pPr>
      <w:r>
        <w:rPr>
          <w:rStyle w:val="VerbatimChar"/>
        </w:rPr>
        <w:t xml:space="preserve">   </w:t>
      </w:r>
      <w:r>
        <w:rPr>
          <w:rStyle w:val="VerbatimChar"/>
        </w:rPr>
        <w:t>evolver                                        time</w:t>
      </w:r>
      <w:r>
        <w:rPr/>
        <w:br/>
      </w:r>
      <w:r>
        <w:rPr>
          <w:rStyle w:val="VerbatimChar"/>
        </w:rPr>
        <w:t xml:space="preserve">   fires</w:t>
      </w:r>
      <w:r>
        <w:rPr/>
        <w:br/>
      </w:r>
      <w:r>
        <w:rPr>
          <w:rStyle w:val="VerbatimChar"/>
        </w:rPr>
        <w:t xml:space="preserve">     │</w:t>
      </w:r>
      <w:r>
        <w:rPr/>
        <w:br/>
      </w:r>
      <w:r>
        <w:rPr>
          <w:rStyle w:val="VerbatimChar"/>
        </w:rPr>
        <w:t xml:space="preserve">     ▼</w:t>
      </w:r>
      <w:r>
        <w:rPr/>
        <w:br/>
      </w:r>
      <w:r>
        <w:rPr>
          <w:rStyle w:val="VerbatimChar"/>
        </w:rPr>
        <w:t xml:space="preserve">   ┌──────────────────────┐                       t=0</w:t>
      </w:r>
      <w:r>
        <w:rPr/>
        <w:br/>
      </w:r>
      <w:r>
        <w:rPr>
          <w:rStyle w:val="VerbatimChar"/>
        </w:rPr>
        <w:t xml:space="preserve">   │  evolution_proposal  │ pinned in EventLog</w:t>
      </w:r>
      <w:r>
        <w:rPr/>
        <w:br/>
      </w:r>
      <w:r>
        <w:rPr>
          <w:rStyle w:val="VerbatimChar"/>
        </w:rPr>
        <w:t xml:space="preserve">   │  ┌────────────────┐  │ predicted_fixes,</w:t>
      </w:r>
      <w:r>
        <w:rPr/>
        <w:br/>
      </w:r>
      <w:r>
        <w:rPr>
          <w:rStyle w:val="VerbatimChar"/>
        </w:rPr>
        <w:t xml:space="preserve">   │  │ change_diff    │  │ predicted_regressions,</w:t>
      </w:r>
      <w:r>
        <w:rPr/>
        <w:br/>
      </w:r>
      <w:r>
        <w:rPr>
          <w:rStyle w:val="VerbatimChar"/>
        </w:rPr>
        <w:t xml:space="preserve">   │  │ rollback_ptr   │  │ rollback_pointer</w:t>
      </w:r>
      <w:r>
        <w:rPr/>
        <w:br/>
      </w:r>
      <w:r>
        <w:rPr>
          <w:rStyle w:val="VerbatimChar"/>
        </w:rPr>
        <w:t xml:space="preserve">   │  └────────────────┘  │</w:t>
      </w:r>
      <w:r>
        <w:rPr/>
        <w:br/>
      </w:r>
      <w:r>
        <w:rPr>
          <w:rStyle w:val="VerbatimChar"/>
        </w:rPr>
        <w:t xml:space="preserve">   └──────────┬───────────┘</w:t>
      </w:r>
      <w:r>
        <w:rPr/>
        <w:br/>
      </w:r>
      <w:r>
        <w:rPr>
          <w:rStyle w:val="VerbatimChar"/>
        </w:rPr>
        <w:t xml:space="preserve">              │</w:t>
      </w:r>
      <w:r>
        <w:rPr/>
        <w:br/>
      </w:r>
      <w:r>
        <w:rPr>
          <w:rStyle w:val="VerbatimChar"/>
        </w:rPr>
        <w:t xml:space="preserve">              │   ── window of N real events ──▶  t = N events later</w:t>
      </w:r>
      <w:r>
        <w:rPr/>
        <w:br/>
      </w:r>
      <w:r>
        <w:rPr>
          <w:rStyle w:val="VerbatimChar"/>
        </w:rPr>
        <w:t xml:space="preserve">              │       (e.g. 100 turns)</w:t>
      </w:r>
      <w:r>
        <w:rPr/>
        <w:br/>
      </w:r>
      <w:r>
        <w:rPr>
          <w:rStyle w:val="VerbatimChar"/>
        </w:rPr>
        <w:t xml:space="preserve">              ▼</w:t>
      </w:r>
      <w:r>
        <w:rPr/>
        <w:br/>
      </w:r>
      <w:r>
        <w:rPr>
          <w:rStyle w:val="VerbatimChar"/>
        </w:rPr>
        <w:t xml:space="preserve">   ┌──────────────────────┐</w:t>
      </w:r>
      <w:r>
        <w:rPr/>
        <w:br/>
      </w:r>
      <w:r>
        <w:rPr>
          <w:rStyle w:val="VerbatimChar"/>
        </w:rPr>
        <w:t xml:space="preserve">   │  evolution_verdict   │  match predictions vs reality</w:t>
      </w:r>
      <w:r>
        <w:rPr/>
        <w:br/>
      </w:r>
      <w:r>
        <w:rPr>
          <w:rStyle w:val="VerbatimChar"/>
        </w:rPr>
        <w:t xml:space="preserve">   │   decision = ?       │</w:t>
      </w:r>
      <w:r>
        <w:rPr/>
        <w:br/>
      </w:r>
      <w:r>
        <w:rPr>
          <w:rStyle w:val="VerbatimChar"/>
        </w:rPr>
        <w:t xml:space="preserve">   └──────┬────────┬──────┘</w:t>
      </w:r>
      <w:r>
        <w:rPr/>
        <w:br/>
      </w:r>
      <w:r>
        <w:rPr>
          <w:rStyle w:val="VerbatimChar"/>
        </w:rPr>
        <w:t xml:space="preserve">          │        │</w:t>
      </w:r>
      <w:r>
        <w:rPr/>
        <w:br/>
      </w:r>
      <w:r>
        <w:rPr>
          <w:rStyle w:val="VerbatimChar"/>
        </w:rPr>
        <w:t xml:space="preserve">   keep / │        │ revert  →  evolution_revert</w:t>
      </w:r>
      <w:r>
        <w:rPr/>
        <w:br/>
      </w:r>
      <w:r>
        <w:rPr>
          <w:rStyle w:val="VerbatimChar"/>
        </w:rPr>
        <w:t xml:space="preserve">   warn   ▼        ▼              (rollback_pointer activated)</w:t>
      </w:r>
      <w:r>
        <w:rPr/>
        <w:br/>
      </w:r>
      <w:r>
        <w:rPr>
          <w:rStyle w:val="VerbatimChar"/>
        </w:rPr>
        <w:t xml:space="preserve">       state       state</w:t>
      </w:r>
      <w:r>
        <w:rPr/>
        <w:br/>
      </w:r>
      <w:r>
        <w:rPr>
          <w:rStyle w:val="VerbatimChar"/>
        </w:rPr>
        <w:t xml:space="preserve">       kept        rolled back</w:t>
      </w:r>
    </w:p>
    <w:p>
      <w:pPr>
        <w:pStyle w:val="Heading4"/>
        <w:rPr/>
      </w:pPr>
      <w:bookmarkStart w:id="17" w:name="why-falsifiable"/>
      <w:r>
        <w:rPr/>
        <w:t>3.1 Why falsifiable</w:t>
      </w:r>
      <w:bookmarkEnd w:id="17"/>
    </w:p>
    <w:p>
      <w:pPr>
        <w:pStyle w:val="FirstParagraph"/>
        <w:rPr/>
      </w:pPr>
      <w:r>
        <w:rPr/>
        <w:t xml:space="preserve">A non-falsifiable evolver can claim “this edit will improve restaurant recommendations” with no later check. Empirical work on self-improving coding agents (Lin et al., </w:t>
      </w:r>
      <w:r>
        <w:rPr>
          <w:i/>
        </w:rPr>
        <w:t>Agentic Harness Engineering</w:t>
      </w:r>
      <w:r>
        <w:rPr/>
        <w:t>, arXiv:2604.25850v3, Apr 2026) showed that requiring each edit to predict its own fixes and regressions, then scoring those predictions against an observation window, lifts pass@1 by +7.3 pp over 10 iterations versus unaudited self-edits. The same discipline applies here.</w:t>
      </w:r>
    </w:p>
    <w:p>
      <w:pPr>
        <w:pStyle w:val="BodyText"/>
        <w:rPr/>
      </w:pPr>
      <w:r>
        <w:rPr/>
        <w:t xml:space="preserve">The full design (proposal/verdict scoring, coordinator, user-in-the-loop UI, rollout phases) lives in </w:t>
      </w:r>
      <w:hyperlink r:id="rId2">
        <w:r>
          <w:rPr>
            <w:rStyle w:val="Style"/>
            <w:rFonts w:ascii="Consolas" w:hAnsi="Consolas"/>
            <w:sz w:val="22"/>
          </w:rPr>
          <w:t>design/falsifiable-evolution.md</w:t>
        </w:r>
      </w:hyperlink>
      <w:r>
        <w:rPr/>
        <w:t xml:space="preserve">. This BEP pins only the </w:t>
      </w:r>
      <w:r>
        <w:rPr>
          <w:i/>
        </w:rPr>
        <w:t>event schema</w:t>
      </w:r>
      <w:r>
        <w:rPr/>
        <w:t xml:space="preserve"> a compliant runtime MUST emit.</w:t>
      </w:r>
    </w:p>
    <w:p>
      <w:pPr>
        <w:pStyle w:val="Heading4"/>
        <w:rPr/>
      </w:pPr>
      <w:bookmarkStart w:id="18" w:name="event-schemas"/>
      <w:r>
        <w:rPr/>
        <w:t>3.2 Event schemas</w:t>
      </w:r>
      <w:bookmarkEnd w:id="18"/>
    </w:p>
    <w:p>
      <w:pPr>
        <w:pStyle w:val="FirstParagraph"/>
        <w:rPr/>
      </w:pPr>
      <w:r>
        <w:rPr>
          <w:rStyle w:val="VerbatimChar"/>
        </w:rPr>
        <w:t>evolution_proposal</w:t>
      </w:r>
      <w:r>
        <w:rPr/>
        <w:t xml:space="preserve"> — emitted before the edit lands so the hash chain captures intent even if the runtime crashes mid-edit:</w:t>
      </w:r>
    </w:p>
    <w:p>
      <w:pPr>
        <w:pStyle w:val="SourceCode"/>
        <w:rPr/>
      </w:pPr>
      <w:r>
        <w:rPr>
          <w:rStyle w:val="FunctionTok"/>
        </w:rPr>
        <w:t>{</w:t>
      </w:r>
      <w:r>
        <w:rPr/>
        <w:br/>
      </w:r>
      <w:r>
        <w:rPr>
          <w:rStyle w:val="NormalTok"/>
        </w:rPr>
        <w:t xml:space="preserve">  </w:t>
      </w:r>
      <w:r>
        <w:rPr>
          <w:rStyle w:val="DataTypeTok"/>
        </w:rPr>
        <w:t>"edit_id"</w:t>
      </w:r>
      <w:r>
        <w:rPr>
          <w:rStyle w:val="FunctionTok"/>
        </w:rPr>
        <w:t>:</w:t>
      </w:r>
      <w:r>
        <w:rPr>
          <w:rStyle w:val="NormalTok"/>
        </w:rPr>
        <w:t xml:space="preserve">              </w:t>
      </w:r>
      <w:r>
        <w:rPr>
          <w:rStyle w:val="StringTok"/>
        </w:rPr>
        <w:t>"string"</w:t>
      </w:r>
      <w:r>
        <w:rPr>
          <w:rStyle w:val="FunctionTok"/>
        </w:rPr>
        <w:t>,</w:t>
      </w:r>
      <w:r>
        <w:rPr/>
        <w:br/>
      </w:r>
      <w:r>
        <w:rPr>
          <w:rStyle w:val="NormalTok"/>
        </w:rPr>
        <w:t xml:space="preserve">  </w:t>
      </w:r>
      <w:r>
        <w:rPr>
          <w:rStyle w:val="DataTypeTok"/>
        </w:rPr>
        <w:t>"evolver"</w:t>
      </w:r>
      <w:r>
        <w:rPr>
          <w:rStyle w:val="FunctionTok"/>
        </w:rPr>
        <w:t>:</w:t>
      </w:r>
      <w:r>
        <w:rPr>
          <w:rStyle w:val="NormalTok"/>
        </w:rPr>
        <w:t xml:space="preserve">              </w:t>
      </w:r>
      <w:r>
        <w:rPr>
          <w:rStyle w:val="StringTok"/>
        </w:rPr>
        <w:t>"MemoryEvolver | SkillEvolver | PersonaEvolver | KnowledgeCompiler"</w:t>
      </w:r>
      <w:r>
        <w:rPr>
          <w:rStyle w:val="FunctionTok"/>
        </w:rPr>
        <w:t>,</w:t>
      </w:r>
      <w:r>
        <w:rPr/>
        <w:br/>
      </w:r>
      <w:r>
        <w:rPr>
          <w:rStyle w:val="NormalTok"/>
        </w:rPr>
        <w:t xml:space="preserve">  </w:t>
      </w:r>
      <w:r>
        <w:rPr>
          <w:rStyle w:val="DataTypeTok"/>
        </w:rPr>
        <w:t>"target_namespace"</w:t>
      </w:r>
      <w:r>
        <w:rPr>
          <w:rStyle w:val="FunctionTok"/>
        </w:rPr>
        <w:t>:</w:t>
      </w:r>
      <w:r>
        <w:rPr>
          <w:rStyle w:val="NormalTok"/>
        </w:rPr>
        <w:t xml:space="preserve">     </w:t>
      </w:r>
      <w:r>
        <w:rPr>
          <w:rStyle w:val="StringTok"/>
        </w:rPr>
        <w:t>"memory.facts | memory.episodes | memory.skills | memory.persona | memory.knowledge"</w:t>
      </w:r>
      <w:r>
        <w:rPr>
          <w:rStyle w:val="FunctionTok"/>
        </w:rPr>
        <w:t>,</w:t>
      </w:r>
      <w:r>
        <w:rPr/>
        <w:br/>
      </w:r>
      <w:r>
        <w:rPr>
          <w:rStyle w:val="NormalTok"/>
        </w:rPr>
        <w:t xml:space="preserve">  </w:t>
      </w:r>
      <w:r>
        <w:rPr>
          <w:rStyle w:val="DataTypeTok"/>
        </w:rPr>
        <w:t>"target_version_pre"</w:t>
      </w:r>
      <w:r>
        <w:rPr>
          <w:rStyle w:val="FunctionTok"/>
        </w:rPr>
        <w:t>:</w:t>
      </w:r>
      <w:r>
        <w:rPr>
          <w:rStyle w:val="NormalTok"/>
        </w:rPr>
        <w:t xml:space="preserve">   </w:t>
      </w:r>
      <w:r>
        <w:rPr>
          <w:rStyle w:val="StringTok"/>
        </w:rPr>
        <w:t>"memory/facts/v0041.json"</w:t>
      </w:r>
      <w:r>
        <w:rPr>
          <w:rStyle w:val="FunctionTok"/>
        </w:rPr>
        <w:t>,</w:t>
      </w:r>
      <w:r>
        <w:rPr/>
        <w:br/>
      </w:r>
      <w:r>
        <w:rPr>
          <w:rStyle w:val="NormalTok"/>
        </w:rPr>
        <w:t xml:space="preserve">  </w:t>
      </w:r>
      <w:r>
        <w:rPr>
          <w:rStyle w:val="DataTypeTok"/>
        </w:rPr>
        <w:t>"target_version_post"</w:t>
      </w:r>
      <w:r>
        <w:rPr>
          <w:rStyle w:val="FunctionTok"/>
        </w:rPr>
        <w:t>:</w:t>
      </w:r>
      <w:r>
        <w:rPr>
          <w:rStyle w:val="NormalTok"/>
        </w:rPr>
        <w:t xml:space="preserve">  </w:t>
      </w:r>
      <w:r>
        <w:rPr>
          <w:rStyle w:val="StringTok"/>
        </w:rPr>
        <w:t>"memory/facts/v0042.json"</w:t>
      </w:r>
      <w:r>
        <w:rPr>
          <w:rStyle w:val="FunctionTok"/>
        </w:rPr>
        <w:t>,</w:t>
      </w:r>
      <w:r>
        <w:rPr/>
        <w:br/>
      </w:r>
      <w:r>
        <w:rPr>
          <w:rStyle w:val="NormalTok"/>
        </w:rPr>
        <w:t xml:space="preserve">  </w:t>
      </w:r>
      <w:r>
        <w:rPr>
          <w:rStyle w:val="DataTypeTok"/>
        </w:rPr>
        <w:t>"evidence_event_ids"</w:t>
      </w:r>
      <w:r>
        <w:rPr>
          <w:rStyle w:val="FunctionTok"/>
        </w:rPr>
        <w:t>:</w:t>
      </w:r>
      <w:r>
        <w:rPr>
          <w:rStyle w:val="NormalTok"/>
        </w:rPr>
        <w:t xml:space="preserve">   </w:t>
      </w:r>
      <w:r>
        <w:rPr>
          <w:rStyle w:val="OtherTok"/>
        </w:rPr>
        <w:t>[</w:t>
      </w:r>
      <w:r>
        <w:rPr>
          <w:rStyle w:val="DecValTok"/>
        </w:rPr>
        <w:t>123</w:t>
      </w:r>
      <w:r>
        <w:rPr>
          <w:rStyle w:val="OtherTok"/>
        </w:rPr>
        <w:t>,</w:t>
      </w:r>
      <w:r>
        <w:rPr>
          <w:rStyle w:val="NormalTok"/>
        </w:rPr>
        <w:t xml:space="preserve"> </w:t>
      </w:r>
      <w:r>
        <w:rPr>
          <w:rStyle w:val="DecValTok"/>
        </w:rPr>
        <w:t>145</w:t>
      </w:r>
      <w:r>
        <w:rPr>
          <w:rStyle w:val="OtherTok"/>
        </w:rPr>
        <w:t>,</w:t>
      </w:r>
      <w:r>
        <w:rPr>
          <w:rStyle w:val="NormalTok"/>
        </w:rPr>
        <w:t xml:space="preserve"> </w:t>
      </w:r>
      <w:r>
        <w:rPr>
          <w:rStyle w:val="DecValTok"/>
        </w:rPr>
        <w:t>167</w:t>
      </w:r>
      <w:r>
        <w:rPr>
          <w:rStyle w:val="OtherTok"/>
        </w:rPr>
        <w:t>]</w:t>
      </w:r>
      <w:r>
        <w:rPr>
          <w:rStyle w:val="FunctionTok"/>
        </w:rPr>
        <w:t>,</w:t>
      </w:r>
      <w:r>
        <w:rPr/>
        <w:br/>
      </w:r>
      <w:r>
        <w:rPr>
          <w:rStyle w:val="NormalTok"/>
        </w:rPr>
        <w:t xml:space="preserve">  </w:t>
      </w:r>
      <w:r>
        <w:rPr>
          <w:rStyle w:val="DataTypeTok"/>
        </w:rPr>
        <w:t>"change_summary"</w:t>
      </w:r>
      <w:r>
        <w:rPr>
          <w:rStyle w:val="FunctionTok"/>
        </w:rPr>
        <w:t>:</w:t>
      </w:r>
      <w:r>
        <w:rPr>
          <w:rStyle w:val="NormalTok"/>
        </w:rPr>
        <w:t xml:space="preserve">       </w:t>
      </w:r>
      <w:r>
        <w:rPr>
          <w:rStyle w:val="StringTok"/>
        </w:rPr>
        <w:t>"Added fact: user has peanut allergy"</w:t>
      </w:r>
      <w:r>
        <w:rPr>
          <w:rStyle w:val="FunctionTok"/>
        </w:rPr>
        <w:t>,</w:t>
      </w:r>
      <w:r>
        <w:rPr/>
        <w:br/>
      </w:r>
      <w:r>
        <w:rPr>
          <w:rStyle w:val="NormalTok"/>
        </w:rPr>
        <w:t xml:space="preserve">  </w:t>
      </w:r>
      <w:r>
        <w:rPr>
          <w:rStyle w:val="DataTypeTok"/>
        </w:rPr>
        <w:t>"predicted_fixes"</w:t>
      </w:r>
      <w:r>
        <w:rPr>
          <w:rStyle w:val="FunctionTok"/>
        </w:rPr>
        <w:t>:</w:t>
      </w:r>
      <w:r>
        <w:rPr>
          <w:rStyle w:val="NormalTok"/>
        </w:rPr>
        <w:t xml:space="preserve">      </w:t>
      </w:r>
      <w:r>
        <w:rPr>
          <w:rStyle w:val="OtherTok"/>
        </w:rPr>
        <w:t>[</w:t>
      </w:r>
      <w:r>
        <w:rPr>
          <w:rStyle w:val="FunctionTok"/>
        </w:rPr>
        <w:t>{</w:t>
      </w:r>
      <w:r>
        <w:rPr>
          <w:rStyle w:val="DataTypeTok"/>
        </w:rPr>
        <w:t>"task_kind"</w:t>
      </w:r>
      <w:r>
        <w:rPr>
          <w:rStyle w:val="FunctionTok"/>
        </w:rPr>
        <w:t>:</w:t>
      </w:r>
      <w:r>
        <w:rPr>
          <w:rStyle w:val="NormalTok"/>
        </w:rPr>
        <w:t xml:space="preserve"> </w:t>
      </w:r>
      <w:r>
        <w:rPr>
          <w:rStyle w:val="StringTok"/>
        </w:rPr>
        <w:t>"restaurant_recommendation"</w:t>
      </w:r>
      <w:r>
        <w:rPr>
          <w:rStyle w:val="FunctionTok"/>
        </w:rPr>
        <w:t>,</w:t>
      </w:r>
      <w:r>
        <w:rPr>
          <w:rStyle w:val="NormalTok"/>
        </w:rPr>
        <w:t xml:space="preserve"> </w:t>
      </w:r>
      <w:r>
        <w:rPr>
          <w:rStyle w:val="DataTypeTok"/>
        </w:rPr>
        <w:t>"reason"</w:t>
      </w:r>
      <w:r>
        <w:rPr>
          <w:rStyle w:val="FunctionTok"/>
        </w:rPr>
        <w:t>:</w:t>
      </w:r>
      <w:r>
        <w:rPr>
          <w:rStyle w:val="NormalTok"/>
        </w:rPr>
        <w:t xml:space="preserve"> </w:t>
      </w:r>
      <w:r>
        <w:rPr>
          <w:rStyle w:val="StringTok"/>
        </w:rPr>
        <w:t>"avoid peanut dishes"</w:t>
      </w:r>
      <w:r>
        <w:rPr>
          <w:rStyle w:val="FunctionTok"/>
        </w:rPr>
        <w:t>}</w:t>
      </w:r>
      <w:r>
        <w:rPr>
          <w:rStyle w:val="OtherTok"/>
        </w:rPr>
        <w:t>]</w:t>
      </w:r>
      <w:r>
        <w:rPr>
          <w:rStyle w:val="FunctionTok"/>
        </w:rPr>
        <w:t>,</w:t>
      </w:r>
      <w:r>
        <w:rPr/>
        <w:br/>
      </w:r>
      <w:r>
        <w:rPr>
          <w:rStyle w:val="NormalTok"/>
        </w:rPr>
        <w:t xml:space="preserve">  </w:t>
      </w:r>
      <w:r>
        <w:rPr>
          <w:rStyle w:val="DataTypeTok"/>
        </w:rPr>
        <w:t>"predicted_regressions"</w:t>
      </w:r>
      <w:r>
        <w:rPr>
          <w:rStyle w:val="FunctionTok"/>
        </w:rPr>
        <w:t>:</w:t>
      </w:r>
      <w:r>
        <w:rPr>
          <w:rStyle w:val="OtherTok"/>
        </w:rPr>
        <w:t>[]</w:t>
      </w:r>
      <w:r>
        <w:rPr>
          <w:rStyle w:val="FunctionTok"/>
        </w:rPr>
        <w:t>,</w:t>
      </w:r>
      <w:r>
        <w:rPr/>
        <w:br/>
      </w:r>
      <w:r>
        <w:rPr>
          <w:rStyle w:val="NormalTok"/>
        </w:rPr>
        <w:t xml:space="preserve">  </w:t>
      </w:r>
      <w:r>
        <w:rPr>
          <w:rStyle w:val="DataTypeTok"/>
        </w:rPr>
        <w:t>"rollback_pointer"</w:t>
      </w:r>
      <w:r>
        <w:rPr>
          <w:rStyle w:val="FunctionTok"/>
        </w:rPr>
        <w:t>:</w:t>
      </w:r>
      <w:r>
        <w:rPr>
          <w:rStyle w:val="NormalTok"/>
        </w:rPr>
        <w:t xml:space="preserve">     </w:t>
      </w:r>
      <w:r>
        <w:rPr>
          <w:rStyle w:val="StringTok"/>
        </w:rPr>
        <w:t>"memory/facts/v0041.json"</w:t>
      </w:r>
      <w:r>
        <w:rPr>
          <w:rStyle w:val="FunctionTok"/>
        </w:rPr>
        <w:t>,</w:t>
      </w:r>
      <w:r>
        <w:rPr/>
        <w:br/>
      </w:r>
      <w:r>
        <w:rPr>
          <w:rStyle w:val="NormalTok"/>
        </w:rPr>
        <w:t xml:space="preserve">  </w:t>
      </w:r>
      <w:r>
        <w:rPr>
          <w:rStyle w:val="DataTypeTok"/>
        </w:rPr>
        <w:t>"expires_after_events"</w:t>
      </w:r>
      <w:r>
        <w:rPr>
          <w:rStyle w:val="FunctionTok"/>
        </w:rPr>
        <w:t>:</w:t>
      </w:r>
      <w:r>
        <w:rPr>
          <w:rStyle w:val="NormalTok"/>
        </w:rPr>
        <w:t xml:space="preserve"> </w:t>
      </w:r>
      <w:r>
        <w:rPr>
          <w:rStyle w:val="DecValTok"/>
        </w:rPr>
        <w:t>100</w:t>
      </w:r>
      <w:r>
        <w:rPr/>
        <w:br/>
      </w:r>
      <w:r>
        <w:rPr>
          <w:rStyle w:val="FunctionTok"/>
        </w:rPr>
        <w:t>}</w:t>
      </w:r>
    </w:p>
    <w:p>
      <w:pPr>
        <w:pStyle w:val="FirstParagraph"/>
        <w:rPr/>
      </w:pPr>
      <w:r>
        <w:rPr>
          <w:rStyle w:val="VerbatimChar"/>
        </w:rPr>
        <w:t>evolution_verdict</w:t>
      </w:r>
      <w:r>
        <w:rPr/>
        <w:t xml:space="preserve"> — emitted when the observation window closes:</w:t>
      </w:r>
    </w:p>
    <w:p>
      <w:pPr>
        <w:pStyle w:val="SourceCode"/>
        <w:rPr/>
      </w:pPr>
      <w:r>
        <w:rPr>
          <w:rStyle w:val="FunctionTok"/>
        </w:rPr>
        <w:t>{</w:t>
      </w:r>
      <w:r>
        <w:rPr/>
        <w:br/>
      </w:r>
      <w:r>
        <w:rPr>
          <w:rStyle w:val="NormalTok"/>
        </w:rPr>
        <w:t xml:space="preserve">  </w:t>
      </w:r>
      <w:r>
        <w:rPr>
          <w:rStyle w:val="DataTypeTok"/>
        </w:rPr>
        <w:t>"edit_id"</w:t>
      </w:r>
      <w:r>
        <w:rPr>
          <w:rStyle w:val="FunctionTok"/>
        </w:rPr>
        <w:t>:</w:t>
      </w:r>
      <w:r>
        <w:rPr>
          <w:rStyle w:val="NormalTok"/>
        </w:rPr>
        <w:t xml:space="preserve">                   </w:t>
      </w:r>
      <w:r>
        <w:rPr>
          <w:rStyle w:val="StringTok"/>
        </w:rPr>
        <w:t>"matches the proposal"</w:t>
      </w:r>
      <w:r>
        <w:rPr>
          <w:rStyle w:val="FunctionTok"/>
        </w:rPr>
        <w:t>,</w:t>
      </w:r>
      <w:r>
        <w:rPr/>
        <w:br/>
      </w:r>
      <w:r>
        <w:rPr>
          <w:rStyle w:val="NormalTok"/>
        </w:rPr>
        <w:t xml:space="preserve">  </w:t>
      </w:r>
      <w:r>
        <w:rPr>
          <w:rStyle w:val="DataTypeTok"/>
        </w:rPr>
        <w:t>"events_observed"</w:t>
      </w:r>
      <w:r>
        <w:rPr>
          <w:rStyle w:val="FunctionTok"/>
        </w:rPr>
        <w:t>:</w:t>
      </w:r>
      <w:r>
        <w:rPr>
          <w:rStyle w:val="NormalTok"/>
        </w:rPr>
        <w:t xml:space="preserve">           </w:t>
      </w:r>
      <w:r>
        <w:rPr>
          <w:rStyle w:val="DecValTok"/>
        </w:rPr>
        <w:t>200</w:t>
      </w:r>
      <w:r>
        <w:rPr>
          <w:rStyle w:val="FunctionTok"/>
        </w:rPr>
        <w:t>,</w:t>
      </w:r>
      <w:r>
        <w:rPr/>
        <w:br/>
      </w:r>
      <w:r>
        <w:rPr>
          <w:rStyle w:val="NormalTok"/>
        </w:rPr>
        <w:t xml:space="preserve">  </w:t>
      </w:r>
      <w:r>
        <w:rPr>
          <w:rStyle w:val="DataTypeTok"/>
        </w:rPr>
        <w:t>"predicted_fix_match"</w:t>
      </w:r>
      <w:r>
        <w:rPr>
          <w:rStyle w:val="FunctionTok"/>
        </w:rPr>
        <w:t>:</w:t>
      </w:r>
      <w:r>
        <w:rPr>
          <w:rStyle w:val="NormalTok"/>
        </w:rPr>
        <w:t xml:space="preserve">       </w:t>
      </w:r>
      <w:r>
        <w:rPr>
          <w:rStyle w:val="OtherTok"/>
        </w:rPr>
        <w:t>[</w:t>
      </w:r>
      <w:r>
        <w:rPr>
          <w:rStyle w:val="FunctionTok"/>
        </w:rPr>
        <w:t>{</w:t>
      </w:r>
      <w:r>
        <w:rPr>
          <w:rStyle w:val="DataTypeTok"/>
        </w:rPr>
        <w:t>"task_kind"</w:t>
      </w:r>
      <w:r>
        <w:rPr>
          <w:rStyle w:val="FunctionTok"/>
        </w:rPr>
        <w:t>:</w:t>
      </w:r>
      <w:r>
        <w:rPr>
          <w:rStyle w:val="NormalTok"/>
        </w:rPr>
        <w:t xml:space="preserve"> </w:t>
      </w:r>
      <w:r>
        <w:rPr>
          <w:rStyle w:val="StringTok"/>
        </w:rPr>
        <w:t>"restaurant_recommendation"</w:t>
      </w:r>
      <w:r>
        <w:rPr>
          <w:rStyle w:val="FunctionTok"/>
        </w:rPr>
        <w:t>,</w:t>
      </w:r>
      <w:r>
        <w:rPr>
          <w:rStyle w:val="NormalTok"/>
        </w:rPr>
        <w:t xml:space="preserve"> </w:t>
      </w:r>
      <w:r>
        <w:rPr>
          <w:rStyle w:val="DataTypeTok"/>
        </w:rPr>
        <w:t>"observed_count"</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"outcome"</w:t>
      </w:r>
      <w:r>
        <w:rPr>
          <w:rStyle w:val="FunctionTok"/>
        </w:rPr>
        <w:t>:</w:t>
      </w:r>
      <w:r>
        <w:rPr>
          <w:rStyle w:val="NormalTok"/>
        </w:rPr>
        <w:t xml:space="preserve"> </w:t>
      </w:r>
      <w:r>
        <w:rPr>
          <w:rStyle w:val="StringTok"/>
        </w:rPr>
        <w:t>"fixed"</w:t>
      </w:r>
      <w:r>
        <w:rPr>
          <w:rStyle w:val="FunctionTok"/>
        </w:rPr>
        <w:t>}</w:t>
      </w:r>
      <w:r>
        <w:rPr>
          <w:rStyle w:val="OtherTok"/>
        </w:rPr>
        <w:t>]</w:t>
      </w:r>
      <w:r>
        <w:rPr>
          <w:rStyle w:val="FunctionTok"/>
        </w:rPr>
        <w:t>,</w:t>
      </w:r>
      <w:r>
        <w:rPr/>
        <w:br/>
      </w:r>
      <w:r>
        <w:rPr>
          <w:rStyle w:val="NormalTok"/>
        </w:rPr>
        <w:t xml:space="preserve">  </w:t>
      </w:r>
      <w:r>
        <w:rPr>
          <w:rStyle w:val="DataTypeTok"/>
        </w:rPr>
        <w:t>"unpredicted_regressions"</w:t>
      </w:r>
      <w:r>
        <w:rPr>
          <w:rStyle w:val="FunctionTok"/>
        </w:rPr>
        <w:t>:</w:t>
      </w:r>
      <w:r>
        <w:rPr>
          <w:rStyle w:val="NormalTok"/>
        </w:rPr>
        <w:t xml:space="preserve">   </w:t>
      </w:r>
      <w:r>
        <w:rPr>
          <w:rStyle w:val="OtherTok"/>
        </w:rPr>
        <w:t>[</w:t>
      </w:r>
      <w:r>
        <w:rPr>
          <w:rStyle w:val="FunctionTok"/>
        </w:rPr>
        <w:t>{</w:t>
      </w:r>
      <w:r>
        <w:rPr>
          <w:rStyle w:val="DataTypeTok"/>
        </w:rPr>
        <w:t>"task_kind"</w:t>
      </w:r>
      <w:r>
        <w:rPr>
          <w:rStyle w:val="FunctionTok"/>
        </w:rPr>
        <w:t>:</w:t>
      </w:r>
      <w:r>
        <w:rPr>
          <w:rStyle w:val="NormalTok"/>
        </w:rPr>
        <w:t xml:space="preserve"> </w:t>
      </w:r>
      <w:r>
        <w:rPr>
          <w:rStyle w:val="StringTok"/>
        </w:rPr>
        <w:t>"small_talk"</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"low"</w:t>
      </w:r>
      <w:r>
        <w:rPr>
          <w:rStyle w:val="FunctionTok"/>
        </w:rPr>
        <w:t>,</w:t>
      </w:r>
      <w:r>
        <w:rPr>
          <w:rStyle w:val="NormalTok"/>
        </w:rPr>
        <w:t xml:space="preserve"> </w:t>
      </w:r>
      <w:r>
        <w:rPr>
          <w:rStyle w:val="DataTypeTok"/>
        </w:rPr>
        <w:t>"evidence"</w:t>
      </w:r>
      <w:r>
        <w:rPr>
          <w:rStyle w:val="FunctionTok"/>
        </w:rPr>
        <w:t>:</w:t>
      </w:r>
      <w:r>
        <w:rPr>
          <w:rStyle w:val="NormalTok"/>
        </w:rPr>
        <w:t xml:space="preserve"> </w:t>
      </w:r>
      <w:r>
        <w:rPr>
          <w:rStyle w:val="StringTok"/>
        </w:rPr>
        <w:t>"over-mentioned"</w:t>
      </w:r>
      <w:r>
        <w:rPr>
          <w:rStyle w:val="FunctionTok"/>
        </w:rPr>
        <w:t>}</w:t>
      </w:r>
      <w:r>
        <w:rPr>
          <w:rStyle w:val="OtherTok"/>
        </w:rPr>
        <w:t>]</w:t>
      </w:r>
      <w:r>
        <w:rPr>
          <w:rStyle w:val="FunctionTok"/>
        </w:rPr>
        <w:t>,</w:t>
      </w:r>
      <w:r>
        <w:rPr/>
        <w:br/>
      </w:r>
      <w:r>
        <w:rPr>
          <w:rStyle w:val="NormalTok"/>
        </w:rPr>
        <w:t xml:space="preserve">  </w:t>
      </w:r>
      <w:r>
        <w:rPr>
          <w:rStyle w:val="DataTypeTok"/>
        </w:rPr>
        <w:t>"fix_score"</w:t>
      </w:r>
      <w:r>
        <w:rPr>
          <w:rStyle w:val="FunctionTok"/>
        </w:rPr>
        <w:t>:</w:t>
      </w:r>
      <w:r>
        <w:rPr>
          <w:rStyle w:val="NormalTok"/>
        </w:rPr>
        <w:t xml:space="preserve">                 </w:t>
      </w:r>
      <w:r>
        <w:rPr>
          <w:rStyle w:val="FloatTok"/>
        </w:rPr>
        <w:t>1.0</w:t>
      </w:r>
      <w:r>
        <w:rPr>
          <w:rStyle w:val="FunctionTok"/>
        </w:rPr>
        <w:t>,</w:t>
      </w:r>
      <w:r>
        <w:rPr/>
        <w:br/>
      </w:r>
      <w:r>
        <w:rPr>
          <w:rStyle w:val="NormalTok"/>
        </w:rPr>
        <w:t xml:space="preserve">  </w:t>
      </w:r>
      <w:r>
        <w:rPr>
          <w:rStyle w:val="DataTypeTok"/>
        </w:rPr>
        <w:t>"regression_score"</w:t>
      </w:r>
      <w:r>
        <w:rPr>
          <w:rStyle w:val="FunctionTok"/>
        </w:rPr>
        <w:t>:</w:t>
      </w:r>
      <w:r>
        <w:rPr>
          <w:rStyle w:val="NormalTok"/>
        </w:rPr>
        <w:t xml:space="preserve">          </w:t>
      </w:r>
      <w:r>
        <w:rPr>
          <w:rStyle w:val="FloatTok"/>
        </w:rPr>
        <w:t>0.2</w:t>
      </w:r>
      <w:r>
        <w:rPr>
          <w:rStyle w:val="FunctionTok"/>
        </w:rPr>
        <w:t>,</w:t>
      </w:r>
      <w:r>
        <w:rPr/>
        <w:br/>
      </w:r>
      <w:r>
        <w:rPr>
          <w:rStyle w:val="NormalTok"/>
        </w:rPr>
        <w:t xml:space="preserve">  </w:t>
      </w:r>
      <w:r>
        <w:rPr>
          <w:rStyle w:val="DataTypeTok"/>
        </w:rPr>
        <w:t>"abc_drift_delta"</w:t>
      </w:r>
      <w:r>
        <w:rPr>
          <w:rStyle w:val="FunctionTok"/>
        </w:rPr>
        <w:t>:</w:t>
      </w:r>
      <w:r>
        <w:rPr>
          <w:rStyle w:val="NormalTok"/>
        </w:rPr>
        <w:t xml:space="preserve">           </w:t>
      </w:r>
      <w:r>
        <w:rPr>
          <w:rStyle w:val="FloatTok"/>
        </w:rPr>
        <w:t>0.05</w:t>
      </w:r>
      <w:r>
        <w:rPr>
          <w:rStyle w:val="FunctionTok"/>
        </w:rPr>
        <w:t>,</w:t>
      </w:r>
      <w:r>
        <w:rPr/>
        <w:br/>
      </w:r>
      <w:r>
        <w:rPr>
          <w:rStyle w:val="NormalTok"/>
        </w:rPr>
        <w:t xml:space="preserve">  </w:t>
      </w:r>
      <w:r>
        <w:rPr>
          <w:rStyle w:val="DataTypeTok"/>
        </w:rPr>
        <w:t>"decision"</w:t>
      </w:r>
      <w:r>
        <w:rPr>
          <w:rStyle w:val="FunctionTok"/>
        </w:rPr>
        <w:t>:</w:t>
      </w:r>
      <w:r>
        <w:rPr>
          <w:rStyle w:val="NormalTok"/>
        </w:rPr>
        <w:t xml:space="preserve">                  </w:t>
      </w:r>
      <w:r>
        <w:rPr>
          <w:rStyle w:val="StringTok"/>
        </w:rPr>
        <w:t>"kept | kept_with_warning | reverted"</w:t>
      </w:r>
      <w:r>
        <w:rPr/>
        <w:br/>
      </w:r>
      <w:r>
        <w:rPr>
          <w:rStyle w:val="FunctionTok"/>
        </w:rPr>
        <w:t>}</w:t>
      </w:r>
    </w:p>
    <w:p>
      <w:pPr>
        <w:pStyle w:val="FirstParagraph"/>
        <w:rPr/>
      </w:pPr>
      <w:r>
        <w:rPr>
          <w:rStyle w:val="VerbatimChar"/>
        </w:rPr>
        <w:t>evolution_revert</w:t>
      </w:r>
      <w:r>
        <w:rPr/>
        <w:t xml:space="preserve"> — emitted when state is rolled back:</w:t>
      </w:r>
    </w:p>
    <w:p>
      <w:pPr>
        <w:pStyle w:val="SourceCode"/>
        <w:rPr/>
      </w:pPr>
      <w:r>
        <w:rPr>
          <w:rStyle w:val="FunctionTok"/>
        </w:rPr>
        <w:t>{</w:t>
      </w:r>
      <w:r>
        <w:rPr/>
        <w:br/>
      </w:r>
      <w:r>
        <w:rPr>
          <w:rStyle w:val="NormalTok"/>
        </w:rPr>
        <w:t xml:space="preserve">  </w:t>
      </w:r>
      <w:r>
        <w:rPr>
          <w:rStyle w:val="DataTypeTok"/>
        </w:rPr>
        <w:t>"edit_id"</w:t>
      </w:r>
      <w:r>
        <w:rPr>
          <w:rStyle w:val="FunctionTok"/>
        </w:rPr>
        <w:t>:</w:t>
      </w:r>
      <w:r>
        <w:rPr>
          <w:rStyle w:val="NormalTok"/>
        </w:rPr>
        <w:t xml:space="preserve">          </w:t>
      </w:r>
      <w:r>
        <w:rPr>
          <w:rStyle w:val="StringTok"/>
        </w:rPr>
        <w:t>"matches proposal"</w:t>
      </w:r>
      <w:r>
        <w:rPr>
          <w:rStyle w:val="FunctionTok"/>
        </w:rPr>
        <w:t>,</w:t>
      </w:r>
      <w:r>
        <w:rPr/>
        <w:br/>
      </w:r>
      <w:r>
        <w:rPr>
          <w:rStyle w:val="NormalTok"/>
        </w:rPr>
        <w:t xml:space="preserve">  </w:t>
      </w:r>
      <w:r>
        <w:rPr>
          <w:rStyle w:val="DataTypeTok"/>
        </w:rPr>
        <w:t>"rolled_back_to"</w:t>
      </w:r>
      <w:r>
        <w:rPr>
          <w:rStyle w:val="FunctionTok"/>
        </w:rPr>
        <w:t>:</w:t>
      </w:r>
      <w:r>
        <w:rPr>
          <w:rStyle w:val="NormalTok"/>
        </w:rPr>
        <w:t xml:space="preserve">   </w:t>
      </w:r>
      <w:r>
        <w:rPr>
          <w:rStyle w:val="StringTok"/>
        </w:rPr>
        <w:t>"memory/facts/v0041.json"</w:t>
      </w:r>
      <w:r>
        <w:rPr>
          <w:rStyle w:val="FunctionTok"/>
        </w:rPr>
        <w:t>,</w:t>
      </w:r>
      <w:r>
        <w:rPr/>
        <w:br/>
      </w:r>
      <w:r>
        <w:rPr>
          <w:rStyle w:val="NormalTok"/>
        </w:rPr>
        <w:t xml:space="preserve">  </w:t>
      </w:r>
      <w:r>
        <w:rPr>
          <w:rStyle w:val="DataTypeTok"/>
        </w:rPr>
        <w:t>"rolled_back_from"</w:t>
      </w:r>
      <w:r>
        <w:rPr>
          <w:rStyle w:val="FunctionTok"/>
        </w:rPr>
        <w:t>:</w:t>
      </w:r>
      <w:r>
        <w:rPr>
          <w:rStyle w:val="NormalTok"/>
        </w:rPr>
        <w:t xml:space="preserve"> </w:t>
      </w:r>
      <w:r>
        <w:rPr>
          <w:rStyle w:val="StringTok"/>
        </w:rPr>
        <w:t>"memory/facts/v0042.json"</w:t>
      </w:r>
      <w:r>
        <w:rPr>
          <w:rStyle w:val="FunctionTok"/>
        </w:rPr>
        <w:t>,</w:t>
      </w:r>
      <w:r>
        <w:rPr/>
        <w:br/>
      </w:r>
      <w:r>
        <w:rPr>
          <w:rStyle w:val="NormalTok"/>
        </w:rPr>
        <w:t xml:space="preserve">  </w:t>
      </w:r>
      <w:r>
        <w:rPr>
          <w:rStyle w:val="DataTypeTok"/>
        </w:rPr>
        <w:t>"trigger"</w:t>
      </w:r>
      <w:r>
        <w:rPr>
          <w:rStyle w:val="FunctionTok"/>
        </w:rPr>
        <w:t>:</w:t>
      </w:r>
      <w:r>
        <w:rPr>
          <w:rStyle w:val="NormalTok"/>
        </w:rPr>
        <w:t xml:space="preserve">          </w:t>
      </w:r>
      <w:r>
        <w:rPr>
          <w:rStyle w:val="StringTok"/>
        </w:rPr>
        <w:t>"unpredicted_regression | abc_drift | user_revert | hard_rule_violation"</w:t>
      </w:r>
      <w:r>
        <w:rPr/>
        <w:br/>
      </w:r>
      <w:r>
        <w:rPr>
          <w:rStyle w:val="FunctionTok"/>
        </w:rPr>
        <w:t>}</w:t>
      </w:r>
    </w:p>
    <w:p>
      <w:pPr>
        <w:pStyle w:val="Heading4"/>
        <w:rPr/>
      </w:pPr>
      <w:bookmarkStart w:id="19" w:name="verdict-decision-rules-normative"/>
      <w:r>
        <w:rPr/>
        <w:t>3.3 Verdict decision rules (normative)</w:t>
      </w:r>
      <w:bookmarkEnd w:id="19"/>
    </w:p>
    <w:p>
      <w:pPr>
        <w:pStyle w:val="FirstParagraph"/>
        <w:rPr/>
      </w:pPr>
      <w:r>
        <w:rPr/>
        <w:t xml:space="preserve">A compliant runtime MUST emit </w:t>
      </w:r>
      <w:r>
        <w:rPr>
          <w:rStyle w:val="VerbatimChar"/>
        </w:rPr>
        <w:t>decision = reverted</w:t>
      </w:r>
      <w:r>
        <w:rPr/>
        <w:t xml:space="preserve"> when:</w:t>
      </w:r>
    </w:p>
    <w:p>
      <w:pPr>
        <w:pStyle w:val="Compact"/>
        <w:numPr>
          <w:ilvl w:val="0"/>
          <w:numId w:val="1"/>
        </w:numPr>
        <w:rPr/>
      </w:pPr>
      <w:r>
        <w:rPr>
          <w:rStyle w:val="VerbatimChar"/>
        </w:rPr>
        <w:t>unpredicted_regressions</w:t>
      </w:r>
      <w:r>
        <w:rPr/>
        <w:t xml:space="preserve"> contains any entry with </w:t>
      </w:r>
      <w:r>
        <w:rPr>
          <w:rStyle w:val="VerbatimChar"/>
        </w:rPr>
        <w:t>severity ∈ {medium, high}</w:t>
      </w:r>
      <w:r>
        <w:rPr/>
        <w:t>, OR</w:t>
      </w:r>
    </w:p>
    <w:p>
      <w:pPr>
        <w:pStyle w:val="Compact"/>
        <w:numPr>
          <w:ilvl w:val="0"/>
          <w:numId w:val="1"/>
        </w:numPr>
        <w:rPr/>
      </w:pPr>
      <w:r>
        <w:rPr>
          <w:rStyle w:val="VerbatimChar"/>
        </w:rPr>
        <w:t>abc_drift_delta &gt; intervention_threshold</w:t>
      </w:r>
      <w:r>
        <w:rPr/>
        <w:t xml:space="preserve"> (per ABC contract).</w:t>
      </w:r>
    </w:p>
    <w:p>
      <w:pPr>
        <w:pStyle w:val="FirstParagraph"/>
        <w:rPr/>
      </w:pPr>
      <w:r>
        <w:rPr/>
        <w:t xml:space="preserve">A compliant runtime MUST emit </w:t>
      </w:r>
      <w:r>
        <w:rPr>
          <w:rStyle w:val="VerbatimChar"/>
        </w:rPr>
        <w:t>decision = kept_with_warning</w:t>
      </w:r>
      <w:r>
        <w:rPr/>
        <w:t xml:space="preserve"> when:</w:t>
      </w:r>
    </w:p>
    <w:p>
      <w:pPr>
        <w:pStyle w:val="Compact"/>
        <w:numPr>
          <w:ilvl w:val="0"/>
          <w:numId w:val="1"/>
        </w:numPr>
        <w:rPr/>
      </w:pPr>
      <w:r>
        <w:rPr>
          <w:rStyle w:val="VerbatimChar"/>
        </w:rPr>
        <w:t>unpredicted_regressions</w:t>
      </w:r>
      <w:r>
        <w:rPr/>
        <w:t xml:space="preserve"> contains any </w:t>
      </w:r>
      <w:r>
        <w:rPr>
          <w:rStyle w:val="VerbatimChar"/>
        </w:rPr>
        <w:t>severity = low</w:t>
      </w:r>
      <w:r>
        <w:rPr/>
        <w:t xml:space="preserve"> entry, OR</w:t>
      </w:r>
    </w:p>
    <w:p>
      <w:pPr>
        <w:pStyle w:val="Compact"/>
        <w:numPr>
          <w:ilvl w:val="0"/>
          <w:numId w:val="1"/>
        </w:numPr>
        <w:rPr/>
      </w:pPr>
      <w:r>
        <w:rPr>
          <w:rStyle w:val="VerbatimChar"/>
        </w:rPr>
        <w:t>abc_drift_delta &gt; warning_threshold</w:t>
      </w:r>
      <w:r>
        <w:rPr/>
        <w:t>.</w:t>
      </w:r>
    </w:p>
    <w:p>
      <w:pPr>
        <w:pStyle w:val="FirstParagraph"/>
        <w:rPr/>
      </w:pPr>
      <w:r>
        <w:rPr/>
        <w:t xml:space="preserve">Otherwise, </w:t>
      </w:r>
      <w:r>
        <w:rPr>
          <w:rStyle w:val="VerbatimChar"/>
        </w:rPr>
        <w:t>decision = kept</w:t>
      </w:r>
      <w:r>
        <w:rPr/>
        <w:t>.</w:t>
      </w:r>
    </w:p>
    <w:p>
      <w:pPr>
        <w:pStyle w:val="BodyText"/>
        <w:rPr/>
      </w:pPr>
      <w:r>
        <w:rPr/>
        <w:t xml:space="preserve">A compliant runtime MUST NOT revert based on </w:t>
      </w:r>
      <w:r>
        <w:rPr>
          <w:rStyle w:val="VerbatimChar"/>
        </w:rPr>
        <w:t>predicted_regressions</w:t>
      </w:r>
      <w:r>
        <w:rPr/>
        <w:t xml:space="preserve"> that have no observed signal — the AHE paper’s empirical finding is that regression </w:t>
      </w:r>
      <w:r>
        <w:rPr>
          <w:i/>
        </w:rPr>
        <w:t>prediction</w:t>
      </w:r>
      <w:r>
        <w:rPr/>
        <w:t xml:space="preserve"> is indistinguishable from random (precision 11.8% vs random 5.6%); predictions MAY be used as scoring hints but MUST NOT be used as revert triggers.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 w:name="commerce-capable"/>
      <w:r>
        <w:rPr/>
        <w:t>§4 — Commerce-capable</w:t>
      </w:r>
      <w:bookmarkEnd w:id="20"/>
    </w:p>
    <w:p>
      <w:pPr>
        <w:pStyle w:val="FirstParagraph"/>
        <w:rPr/>
      </w:pPr>
      <w:r>
        <w:rPr/>
        <w:t xml:space="preserve">Agent-to-agent commerce is delegated to ERC-8183 (Agentic Commerce). Nexus does not redefine job lifecycles or escrow; it only specifies the </w:t>
      </w:r>
      <w:r>
        <w:rPr>
          <w:b/>
        </w:rPr>
        <w:t>address binding</w:t>
      </w:r>
      <w:r>
        <w:rPr/>
        <w:t xml:space="preserve"> rule (so counterparties can resolve a Nexus agent from the on-chain caller) and the </w:t>
      </w:r>
      <w:r>
        <w:rPr>
          <w:b/>
        </w:rPr>
        <w:t>mirroring</w:t>
      </w:r>
      <w:r>
        <w:rPr/>
        <w:t xml:space="preserve"> rule (so the agent’s commercial activity feeds the same hash chain as memory).</w:t>
      </w:r>
    </w:p>
    <w:p>
      <w:pPr>
        <w:pStyle w:val="SourceCode"/>
        <w:rPr/>
      </w:pPr>
      <w:r>
        <w:rPr>
          <w:rStyle w:val="VerbatimChar"/>
        </w:rPr>
        <w:t xml:space="preserve">   </w:t>
      </w:r>
      <w:r>
        <w:rPr>
          <w:rStyle w:val="VerbatimChar"/>
        </w:rPr>
        <w:t>ERC-8183 lifecycle              Nexus EventLog (this agent)</w:t>
      </w:r>
      <w:r>
        <w:rPr/>
        <w:br/>
      </w:r>
      <w:r>
        <w:rPr>
          <w:rStyle w:val="VerbatimChar"/>
        </w:rPr>
        <w:t xml:space="preserve">   (on-chain)                       (Greenfield)</w:t>
      </w:r>
      <w:r>
        <w:rPr/>
        <w:br/>
      </w:r>
      <w:r>
        <w:rPr>
          <w:rStyle w:val="VerbatimChar"/>
        </w:rPr>
        <w:t xml:space="preserve">   ────────────────                 ────────────────────────────</w:t>
      </w:r>
      <w:r>
        <w:rPr/>
        <w:br/>
      </w:r>
      <w:r>
        <w:rPr>
          <w:rStyle w:val="VerbatimChar"/>
        </w:rPr>
        <w:t xml:space="preserve">                                  </w:t>
      </w:r>
      <w:r>
        <w:rPr/>
        <w:br/>
      </w:r>
      <w:r>
        <w:rPr>
          <w:rStyle w:val="VerbatimChar"/>
        </w:rPr>
        <w:t xml:space="preserve">   createJob ─────────────────────▶  job_created</w:t>
      </w:r>
      <w:r>
        <w:rPr/>
        <w:br/>
      </w:r>
      <w:r>
        <w:rPr>
          <w:rStyle w:val="VerbatimChar"/>
        </w:rPr>
        <w:t xml:space="preserve">       │                               (acp_job_id_intent)</w:t>
      </w:r>
      <w:r>
        <w:rPr/>
        <w:br/>
      </w:r>
      <w:r>
        <w:rPr>
          <w:rStyle w:val="VerbatimChar"/>
        </w:rPr>
        <w:t xml:space="preserve">       ▼                            </w:t>
      </w:r>
      <w:r>
        <w:rPr/>
        <w:br/>
      </w:r>
      <w:r>
        <w:rPr>
          <w:rStyle w:val="VerbatimChar"/>
        </w:rPr>
        <w:t xml:space="preserve">   setBudget                       </w:t>
      </w:r>
      <w:r>
        <w:rPr/>
        <w:br/>
      </w:r>
      <w:r>
        <w:rPr>
          <w:rStyle w:val="VerbatimChar"/>
        </w:rPr>
        <w:t xml:space="preserve">       │                            </w:t>
      </w:r>
      <w:r>
        <w:rPr/>
        <w:br/>
      </w:r>
      <w:r>
        <w:rPr>
          <w:rStyle w:val="VerbatimChar"/>
        </w:rPr>
        <w:t xml:space="preserve">       ▼                            </w:t>
      </w:r>
      <w:r>
        <w:rPr/>
        <w:br/>
      </w:r>
      <w:r>
        <w:rPr>
          <w:rStyle w:val="VerbatimChar"/>
        </w:rPr>
        <w:t xml:space="preserve">   fund      ─────────────────────▶  job_funded</w:t>
      </w:r>
      <w:r>
        <w:rPr/>
        <w:br/>
      </w:r>
      <w:r>
        <w:rPr>
          <w:rStyle w:val="VerbatimChar"/>
        </w:rPr>
        <w:t xml:space="preserve">   (Open → Funded)                    (acp_job_id, tx_hash)</w:t>
      </w:r>
      <w:r>
        <w:rPr/>
        <w:br/>
      </w:r>
      <w:r>
        <w:rPr>
          <w:rStyle w:val="VerbatimChar"/>
        </w:rPr>
        <w:t xml:space="preserve">       │                            </w:t>
      </w:r>
      <w:r>
        <w:rPr/>
        <w:br/>
      </w:r>
      <w:r>
        <w:rPr>
          <w:rStyle w:val="VerbatimChar"/>
        </w:rPr>
        <w:t xml:space="preserve">       ▼                            </w:t>
      </w:r>
      <w:r>
        <w:rPr/>
        <w:br/>
      </w:r>
      <w:r>
        <w:rPr>
          <w:rStyle w:val="VerbatimChar"/>
        </w:rPr>
        <w:t xml:space="preserve">   submit    ─────────────────────▶  job_submitted</w:t>
      </w:r>
      <w:r>
        <w:rPr/>
        <w:br/>
      </w:r>
      <w:r>
        <w:rPr>
          <w:rStyle w:val="VerbatimChar"/>
        </w:rPr>
        <w:t xml:space="preserve">   (provider)                         (deliverable_hash)</w:t>
      </w:r>
      <w:r>
        <w:rPr/>
        <w:br/>
      </w:r>
      <w:r>
        <w:rPr>
          <w:rStyle w:val="VerbatimChar"/>
        </w:rPr>
        <w:t xml:space="preserve">       │                            </w:t>
      </w:r>
      <w:r>
        <w:rPr/>
        <w:br/>
      </w:r>
      <w:r>
        <w:rPr>
          <w:rStyle w:val="VerbatimChar"/>
        </w:rPr>
        <w:t xml:space="preserve">       ▼                            </w:t>
      </w:r>
      <w:r>
        <w:rPr/>
        <w:br/>
      </w:r>
      <w:r>
        <w:rPr>
          <w:rStyle w:val="VerbatimChar"/>
        </w:rPr>
        <w:t xml:space="preserve">   complete  ─────────────────────▶  job_completed</w:t>
      </w:r>
      <w:r>
        <w:rPr/>
        <w:br/>
      </w:r>
      <w:r>
        <w:rPr>
          <w:rStyle w:val="VerbatimChar"/>
        </w:rPr>
        <w:t xml:space="preserve">   (evaluator, reason)                (reason digest)</w:t>
      </w:r>
      <w:r>
        <w:rPr/>
        <w:br/>
      </w:r>
      <w:r>
        <w:rPr>
          <w:rStyle w:val="VerbatimChar"/>
        </w:rPr>
        <w:t xml:space="preserve">   OR</w:t>
      </w:r>
      <w:r>
        <w:rPr/>
        <w:br/>
      </w:r>
      <w:r>
        <w:rPr>
          <w:rStyle w:val="VerbatimChar"/>
        </w:rPr>
        <w:t xml:space="preserve">   reject    ─────────────────────▶  job_rejected</w:t>
      </w:r>
      <w:r>
        <w:rPr/>
        <w:br/>
      </w:r>
      <w:r>
        <w:rPr>
          <w:rStyle w:val="VerbatimChar"/>
        </w:rPr>
        <w:t xml:space="preserve">   OR (timeout)</w:t>
      </w:r>
      <w:r>
        <w:rPr/>
        <w:br/>
      </w:r>
      <w:r>
        <w:rPr>
          <w:rStyle w:val="VerbatimChar"/>
        </w:rPr>
        <w:t xml:space="preserve">   claimRefund ───────────────────▶  job_expired</w:t>
      </w:r>
      <w:r>
        <w:rPr/>
        <w:br/>
        <w:br/>
      </w:r>
      <w:r>
        <w:rPr>
          <w:rStyle w:val="VerbatimChar"/>
        </w:rPr>
        <w:t xml:space="preserve">   Each on-chain event spawns one EventLog entry. Manifest hash</w:t>
      </w:r>
      <w:r>
        <w:rPr/>
        <w:br/>
      </w:r>
      <w:r>
        <w:rPr>
          <w:rStyle w:val="VerbatimChar"/>
        </w:rPr>
        <w:t xml:space="preserve">   chain folds commerce in alongside user_message / tool_call /</w:t>
      </w:r>
      <w:r>
        <w:rPr/>
        <w:br/>
      </w:r>
      <w:r>
        <w:rPr>
          <w:rStyle w:val="VerbatimChar"/>
        </w:rPr>
        <w:t xml:space="preserve">   evolution_proposal / etc.</w:t>
      </w:r>
    </w:p>
    <w:p>
      <w:pPr>
        <w:pStyle w:val="Heading4"/>
        <w:rPr/>
      </w:pPr>
      <w:bookmarkStart w:id="21" w:name="address-binding"/>
      <w:r>
        <w:rPr/>
        <w:t>4.1 Address binding</w:t>
      </w:r>
      <w:bookmarkEnd w:id="21"/>
    </w:p>
    <w:p>
      <w:pPr>
        <w:pStyle w:val="FirstParagraph"/>
        <w:rPr/>
      </w:pPr>
      <w:r>
        <w:rPr/>
        <w:t xml:space="preserve">When a Nexus agent acts as ERC-8183 </w:t>
      </w:r>
      <w:r>
        <w:rPr>
          <w:rStyle w:val="VerbatimChar"/>
        </w:rPr>
        <w:t>client</w:t>
      </w:r>
      <w:r>
        <w:rPr/>
        <w:t xml:space="preserve">, </w:t>
      </w:r>
      <w:r>
        <w:rPr>
          <w:rStyle w:val="VerbatimChar"/>
        </w:rPr>
        <w:t>provider</w:t>
      </w:r>
      <w:r>
        <w:rPr/>
        <w:t xml:space="preserve">, or </w:t>
      </w:r>
      <w:r>
        <w:rPr>
          <w:rStyle w:val="VerbatimChar"/>
        </w:rPr>
        <w:t>evaluator</w:t>
      </w:r>
      <w:r>
        <w:rPr/>
        <w:t xml:space="preserve">, the on-chain caller MUST be either the NFT owner’s wallet, or — when an </w:t>
      </w:r>
      <w:r>
        <w:rPr>
          <w:rStyle w:val="VerbatimChar"/>
        </w:rPr>
        <w:t>activeRuntime</w:t>
      </w:r>
      <w:r>
        <w:rPr/>
        <w:t xml:space="preserve"> is authorised on </w:t>
      </w:r>
      <w:r>
        <w:rPr>
          <w:rStyle w:val="VerbatimChar"/>
        </w:rPr>
        <w:t>AgentStateExtension</w:t>
      </w:r>
      <w:r>
        <w:rPr/>
        <w:t xml:space="preserve"> — that runtime’s address. Counterparties resolve the calling address back to the ERC-8004 </w:t>
      </w:r>
      <w:r>
        <w:rPr>
          <w:rStyle w:val="VerbatimChar"/>
        </w:rPr>
        <w:t>tokenId</w:t>
      </w:r>
      <w:r>
        <w:rPr/>
        <w:t xml:space="preserve"> via </w:t>
      </w:r>
      <w:r>
        <w:rPr>
          <w:rStyle w:val="VerbatimChar"/>
        </w:rPr>
        <w:t>AgentStateExtension.getState</w:t>
      </w:r>
      <w:r>
        <w:rPr/>
        <w:t>. Without this binding, on-chain ERC-8183 events can’t be linked to Nexus agents without an off-chain mapping.</w:t>
      </w:r>
    </w:p>
    <w:p>
      <w:pPr>
        <w:pStyle w:val="Heading4"/>
        <w:rPr/>
      </w:pPr>
      <w:bookmarkStart w:id="22" w:name="local-mirroring-job_-events"/>
      <w:r>
        <w:rPr/>
        <w:t xml:space="preserve">4.2 Local mirroring — </w:t>
      </w:r>
      <w:r>
        <w:rPr>
          <w:rStyle w:val="VerbatimChar"/>
        </w:rPr>
        <w:t>job_*</w:t>
      </w:r>
      <w:r>
        <w:rPr/>
        <w:t xml:space="preserve"> events</w:t>
      </w:r>
      <w:bookmarkEnd w:id="22"/>
    </w:p>
    <w:p>
      <w:pPr>
        <w:pStyle w:val="FirstParagraph"/>
        <w:rPr/>
      </w:pPr>
      <w:r>
        <w:rPr/>
        <w:t xml:space="preserve">The runtime SHOULD emit </w:t>
      </w:r>
      <w:r>
        <w:rPr>
          <w:rStyle w:val="VerbatimChar"/>
        </w:rPr>
        <w:t>job_*</w:t>
      </w:r>
      <w:r>
        <w:rPr/>
        <w:t xml:space="preserve"> events into its own EventLog mirroring on-chain ERC-8183 events:</w:t>
      </w:r>
    </w:p>
    <w:p>
      <w:pPr>
        <w:pStyle w:val="SourceCode"/>
        <w:rPr/>
      </w:pPr>
      <w:r>
        <w:rPr>
          <w:rStyle w:val="VerbatimChar"/>
        </w:rPr>
        <w:t>job_created      ── local intent before on-chain createJob</w:t>
      </w:r>
      <w:r>
        <w:rPr/>
        <w:br/>
      </w:r>
      <w:r>
        <w:rPr>
          <w:rStyle w:val="VerbatimChar"/>
        </w:rPr>
        <w:t>job_funded       ── observed JobFunded</w:t>
      </w:r>
      <w:r>
        <w:rPr/>
        <w:br/>
      </w:r>
      <w:r>
        <w:rPr>
          <w:rStyle w:val="VerbatimChar"/>
        </w:rPr>
        <w:t>job_submitted    ── observed JobSubmitted (deliverable_hash mandatory)</w:t>
      </w:r>
      <w:r>
        <w:rPr/>
        <w:br/>
      </w:r>
      <w:r>
        <w:rPr>
          <w:rStyle w:val="VerbatimChar"/>
        </w:rPr>
        <w:t>job_completed    ── observed JobCompleted (reason digest captured)</w:t>
      </w:r>
      <w:r>
        <w:rPr/>
        <w:br/>
      </w:r>
      <w:r>
        <w:rPr>
          <w:rStyle w:val="VerbatimChar"/>
        </w:rPr>
        <w:t>job_rejected     ── observed JobRejected</w:t>
      </w:r>
      <w:r>
        <w:rPr/>
        <w:br/>
      </w:r>
      <w:r>
        <w:rPr>
          <w:rStyle w:val="VerbatimChar"/>
        </w:rPr>
        <w:t>job_expired      ── observed JobExpired</w:t>
      </w:r>
    </w:p>
    <w:p>
      <w:pPr>
        <w:pStyle w:val="FirstParagraph"/>
        <w:rPr/>
      </w:pPr>
      <w:r>
        <w:rPr/>
        <w:t xml:space="preserve">Each event SHOULD carry </w:t>
      </w:r>
      <w:r>
        <w:rPr>
          <w:rStyle w:val="VerbatimChar"/>
        </w:rPr>
        <w:t>metadata.acp_chain_id</w:t>
      </w:r>
      <w:r>
        <w:rPr/>
        <w:t xml:space="preserve">, </w:t>
      </w:r>
      <w:r>
        <w:rPr>
          <w:rStyle w:val="VerbatimChar"/>
        </w:rPr>
        <w:t>metadata.acp_contract</w:t>
      </w:r>
      <w:r>
        <w:rPr/>
        <w:t xml:space="preserve">, </w:t>
      </w:r>
      <w:r>
        <w:rPr>
          <w:rStyle w:val="VerbatimChar"/>
        </w:rPr>
        <w:t>metadata.acp_job_id</w:t>
      </w:r>
      <w:r>
        <w:rPr/>
        <w:t xml:space="preserve">, </w:t>
      </w:r>
      <w:r>
        <w:rPr>
          <w:rStyle w:val="VerbatimChar"/>
        </w:rPr>
        <w:t>metadata.role ∈ {client, provider, evaluator}</w:t>
      </w:r>
      <w:r>
        <w:rPr/>
        <w:t xml:space="preserve">, and </w:t>
      </w:r>
      <w:r>
        <w:rPr>
          <w:rStyle w:val="VerbatimChar"/>
        </w:rPr>
        <w:t>metadata.tx_hash</w:t>
      </w:r>
      <w:r>
        <w:rPr/>
        <w:t xml:space="preserve"> so an indexer can join Nexus’s view with on-chain data.</w:t>
      </w:r>
    </w:p>
    <w:p>
      <w:pPr>
        <w:pStyle w:val="Heading4"/>
        <w:rPr/>
      </w:pPr>
      <w:bookmarkStart w:id="23" w:name="attestation-channel"/>
      <w:r>
        <w:rPr/>
        <w:t>4.3 Attestation channel</w:t>
      </w:r>
      <w:bookmarkEnd w:id="23"/>
    </w:p>
    <w:p>
      <w:pPr>
        <w:pStyle w:val="FirstParagraph"/>
        <w:rPr/>
      </w:pPr>
      <w:r>
        <w:rPr/>
        <w:t xml:space="preserve">When the agent acts as evaluator, the on-chain </w:t>
      </w:r>
      <w:r>
        <w:rPr>
          <w:rStyle w:val="VerbatimChar"/>
        </w:rPr>
        <w:t>reason</w:t>
      </w:r>
      <w:r>
        <w:rPr/>
        <w:t xml:space="preserve"> digest passed to </w:t>
      </w:r>
      <w:r>
        <w:rPr>
          <w:rStyle w:val="VerbatimChar"/>
        </w:rPr>
        <w:t>complete</w:t>
      </w:r>
      <w:r>
        <w:rPr/>
        <w:t>/</w:t>
      </w:r>
      <w:r>
        <w:rPr>
          <w:rStyle w:val="VerbatimChar"/>
        </w:rPr>
        <w:t>reject</w:t>
      </w:r>
      <w:r>
        <w:rPr/>
        <w:t xml:space="preserve"> SHOULD hash a JSON document published in </w:t>
      </w:r>
      <w:r>
        <w:rPr>
          <w:rStyle w:val="VerbatimChar"/>
        </w:rPr>
        <w:t>nexus-agent-{tokenId}/attestations/{acp_job_id}.json</w:t>
      </w:r>
      <w:r>
        <w:rPr/>
        <w:t xml:space="preserve"> describing why the decision was made. The exact schema is left to implementations, but the document SHOULD at least name the criteria checked and the evidence reviewed so a counterparty can audit the decision. This is the same falsifiability discipline §3 applies to self-evolution.</w:t>
      </w:r>
    </w:p>
    <w:p>
      <w:pPr>
        <w:pStyle w:val="Heading4"/>
        <w:rPr/>
      </w:pPr>
      <w:bookmarkStart w:id="24" w:name="optional-hooks"/>
      <w:r>
        <w:rPr/>
        <w:t>4.4 Optional hooks</w:t>
      </w:r>
      <w:bookmarkEnd w:id="24"/>
    </w:p>
    <w:p>
      <w:pPr>
        <w:pStyle w:val="FirstParagraph"/>
        <w:rPr/>
      </w:pPr>
      <w:r>
        <w:rPr/>
        <w:t xml:space="preserve">ERC-8183 supports an </w:t>
      </w:r>
      <w:r>
        <w:rPr>
          <w:rStyle w:val="VerbatimChar"/>
        </w:rPr>
        <w:t>IACPHook</w:t>
      </w:r>
      <w:r>
        <w:rPr/>
        <w:t xml:space="preserve"> per job that runs </w:t>
      </w:r>
      <w:r>
        <w:rPr>
          <w:rStyle w:val="VerbatimChar"/>
        </w:rPr>
        <w:t>beforeAction</w:t>
      </w:r>
      <w:r>
        <w:rPr/>
        <w:t>/</w:t>
      </w:r>
      <w:r>
        <w:rPr>
          <w:rStyle w:val="VerbatimChar"/>
        </w:rPr>
        <w:t>afterAction</w:t>
      </w:r>
      <w:r>
        <w:rPr/>
        <w:t xml:space="preserve"> callbacks around lifecycle functions. Implementations MAY supply a hook that, on </w:t>
      </w:r>
      <w:r>
        <w:rPr>
          <w:rStyle w:val="VerbatimChar"/>
        </w:rPr>
        <w:t>complete</w:t>
      </w:r>
      <w:r>
        <w:rPr/>
        <w:t>/</w:t>
      </w:r>
      <w:r>
        <w:rPr>
          <w:rStyle w:val="VerbatimChar"/>
        </w:rPr>
        <w:t>reject</w:t>
      </w:r>
      <w:r>
        <w:rPr/>
        <w:t xml:space="preserve">, updates </w:t>
      </w:r>
      <w:r>
        <w:rPr>
          <w:rStyle w:val="VerbatimChar"/>
        </w:rPr>
        <w:t>AgentStateExtension.stateRoot</w:t>
      </w:r>
      <w:r>
        <w:rPr/>
        <w:t xml:space="preserve"> in the same block to anchor the job outcome alongside the agent’s memory. A reference implementation (</w:t>
      </w:r>
      <w:r>
        <w:rPr>
          <w:rStyle w:val="VerbatimChar"/>
        </w:rPr>
        <w:t>NexusEvolutionHook</w:t>
      </w:r>
      <w:r>
        <w:rPr/>
        <w:t>) lives in the Nexus repo and is non-normative.</w:t>
      </w:r>
    </w:p>
    <w:p>
      <w:pPr>
        <w:pStyle w:val="BodyText"/>
        <w:rPr/>
      </w:pPr>
      <w:r>
        <w:rPr/>
        <w:t>The full ERC-8183 protocol — escrow, fee logic, ERC-2771 relays — is defined by the standard itself. This BEP does not restate it.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5" w:name="reference-runtime-api"/>
      <w:r>
        <w:rPr/>
        <w:t>§5 — Reference runtime API</w:t>
      </w:r>
      <w:bookmarkEnd w:id="25"/>
    </w:p>
    <w:p>
      <w:pPr>
        <w:pStyle w:val="FirstParagraph"/>
        <w:rPr/>
      </w:pPr>
      <w:r>
        <w:rPr/>
        <w:t>A compliant runtime SHOULD expose at least:</w:t>
      </w:r>
    </w:p>
    <w:p>
      <w:pPr>
        <w:pStyle w:val="SourceCode"/>
        <w:rPr/>
      </w:pPr>
      <w:r>
        <w:rPr>
          <w:rStyle w:val="ImportTok"/>
        </w:rPr>
        <w:t>import</w:t>
      </w:r>
      <w:r>
        <w:rPr>
          <w:rStyle w:val="NormalTok"/>
        </w:rPr>
        <w:t xml:space="preserve"> nexus_core</w:t>
      </w:r>
      <w:r>
        <w:rPr/>
        <w:br/>
        <w:br/>
      </w:r>
      <w:r>
        <w:rPr>
          <w:rStyle w:val="NormalTok"/>
        </w:rPr>
        <w:t xml:space="preserve">rt </w:t>
      </w:r>
      <w:r>
        <w:rPr>
          <w:rStyle w:val="OperatorTok"/>
        </w:rPr>
        <w:t>=</w:t>
      </w:r>
      <w:r>
        <w:rPr>
          <w:rStyle w:val="NormalTok"/>
        </w:rPr>
        <w:t xml:space="preserve"> nexus_core.local()                       </w:t>
      </w:r>
      <w:r>
        <w:rPr>
          <w:rStyle w:val="CommentTok"/>
        </w:rPr>
        <w:t># zero-config, file-backed</w:t>
      </w:r>
      <w:r>
        <w:rPr/>
        <w:br/>
      </w:r>
      <w:r>
        <w:rPr>
          <w:rStyle w:val="NormalTok"/>
        </w:rPr>
        <w:t xml:space="preserve">rt </w:t>
      </w:r>
      <w:r>
        <w:rPr>
          <w:rStyle w:val="OperatorTok"/>
        </w:rPr>
        <w:t>=</w:t>
      </w:r>
      <w:r>
        <w:rPr>
          <w:rStyle w:val="NormalTok"/>
        </w:rPr>
        <w:t xml:space="preserve"> nexus_core.testnet(private_key</w:t>
      </w:r>
      <w:r>
        <w:rPr>
          <w:rStyle w:val="OperatorTok"/>
        </w:rPr>
        <w:t>=</w:t>
      </w:r>
      <w:r>
        <w:rPr>
          <w:rStyle w:val="StringTok"/>
        </w:rPr>
        <w:t>"0x..."</w:t>
      </w:r>
      <w:r>
        <w:rPr>
          <w:rStyle w:val="NormalTok"/>
        </w:rPr>
        <w:t xml:space="preserve">)  </w:t>
      </w:r>
      <w:r>
        <w:rPr>
          <w:rStyle w:val="CommentTok"/>
        </w:rPr>
        <w:t># BSC testnet + Greenfield</w:t>
      </w:r>
      <w:r>
        <w:rPr/>
        <w:br/>
      </w:r>
      <w:r>
        <w:rPr>
          <w:rStyle w:val="NormalTok"/>
        </w:rPr>
        <w:t xml:space="preserve">rt </w:t>
      </w:r>
      <w:r>
        <w:rPr>
          <w:rStyle w:val="OperatorTok"/>
        </w:rPr>
        <w:t>=</w:t>
      </w:r>
      <w:r>
        <w:rPr>
          <w:rStyle w:val="NormalTok"/>
        </w:rPr>
        <w:t xml:space="preserve"> nexus_core.mainnet(private_key</w:t>
      </w:r>
      <w:r>
        <w:rPr>
          <w:rStyle w:val="OperatorTok"/>
        </w:rPr>
        <w:t>=</w:t>
      </w:r>
      <w:r>
        <w:rPr>
          <w:rStyle w:val="StringTok"/>
        </w:rPr>
        <w:t>"0x..."</w:t>
      </w:r>
      <w:r>
        <w:rPr>
          <w:rStyle w:val="NormalTok"/>
        </w:rPr>
        <w:t xml:space="preserve">)  </w:t>
      </w:r>
      <w:r>
        <w:rPr>
          <w:rStyle w:val="CommentTok"/>
        </w:rPr>
        <w:t># BSC mainnet + Greenfield</w:t>
      </w:r>
      <w:r>
        <w:rPr/>
        <w:br/>
        <w:br/>
      </w:r>
      <w:r>
        <w:rPr>
          <w:rStyle w:val="CommentTok"/>
        </w:rPr>
        <w:t># Five sub-providers, same shape across all backends.</w:t>
      </w:r>
      <w:r>
        <w:rPr/>
        <w:br/>
      </w:r>
      <w:r>
        <w:rPr>
          <w:rStyle w:val="NormalTok"/>
        </w:rPr>
        <w:t xml:space="preserve">rt.sessions    </w:t>
      </w:r>
      <w:r>
        <w:rPr>
          <w:rStyle w:val="CommentTok"/>
        </w:rPr>
        <w:t># SessionProvider</w:t>
      </w:r>
      <w:r>
        <w:rPr/>
        <w:br/>
      </w:r>
      <w:r>
        <w:rPr>
          <w:rStyle w:val="NormalTok"/>
        </w:rPr>
        <w:t xml:space="preserve">rt.memory      </w:t>
      </w:r>
      <w:r>
        <w:rPr>
          <w:rStyle w:val="CommentTok"/>
        </w:rPr>
        <w:t># MemoryProvider</w:t>
      </w:r>
      <w:r>
        <w:rPr/>
        <w:br/>
      </w:r>
      <w:r>
        <w:rPr>
          <w:rStyle w:val="NormalTok"/>
        </w:rPr>
        <w:t xml:space="preserve">rt.artifacts   </w:t>
      </w:r>
      <w:r>
        <w:rPr>
          <w:rStyle w:val="CommentTok"/>
        </w:rPr>
        <w:t># ArtifactProvider</w:t>
      </w:r>
      <w:r>
        <w:rPr/>
        <w:br/>
      </w:r>
      <w:r>
        <w:rPr>
          <w:rStyle w:val="NormalTok"/>
        </w:rPr>
        <w:t xml:space="preserve">rt.tasks       </w:t>
      </w:r>
      <w:r>
        <w:rPr>
          <w:rStyle w:val="CommentTok"/>
        </w:rPr>
        <w:t># TaskProvider</w:t>
      </w:r>
      <w:r>
        <w:rPr/>
        <w:br/>
      </w:r>
      <w:r>
        <w:rPr>
          <w:rStyle w:val="NormalTok"/>
        </w:rPr>
        <w:t xml:space="preserve">rt.impressions </w:t>
      </w:r>
      <w:r>
        <w:rPr>
          <w:rStyle w:val="CommentTok"/>
        </w:rPr>
        <w:t># ImpressionProvider</w:t>
      </w:r>
      <w:r>
        <w:rPr/>
        <w:br/>
        <w:br/>
      </w:r>
      <w:r>
        <w:rPr>
          <w:rStyle w:val="NormalTok"/>
        </w:rPr>
        <w:t xml:space="preserve">rt.backend     </w:t>
      </w:r>
      <w:r>
        <w:rPr>
          <w:rStyle w:val="CommentTok"/>
        </w:rPr>
        <w:t># low-level handle for chain / Greenfield ops</w:t>
      </w:r>
    </w:p>
    <w:p>
      <w:pPr>
        <w:pStyle w:val="FirstParagraph"/>
        <w:rPr/>
      </w:pPr>
      <w:r>
        <w:rPr/>
        <w:t>Implementations in other languages SHOULD follow the same five-provider split — it cleanly maps to the five concerns and matches the Greenfield object layout in §1.2.</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6" w:name="rationale"/>
      <w:r>
        <w:rPr/>
        <w:t>Rationale</w:t>
      </w:r>
      <w:bookmarkEnd w:id="26"/>
    </w:p>
    <w:p>
      <w:pPr>
        <w:pStyle w:val="Heading3"/>
        <w:rPr/>
      </w:pPr>
      <w:bookmarkStart w:id="27" w:name="why-erc-8004-not-a-custom-nft"/>
      <w:r>
        <w:rPr/>
        <w:t>Why ERC-8004 (not a custom NFT)?</w:t>
      </w:r>
      <w:bookmarkEnd w:id="27"/>
    </w:p>
    <w:p>
      <w:pPr>
        <w:pStyle w:val="FirstParagraph"/>
        <w:rPr/>
      </w:pPr>
      <w:r>
        <w:rPr/>
        <w:t xml:space="preserve">ERC-8004 already standardises agent identity (tokenId, owner, agentURI). Re-using it lets Nexus benefit from the existing identity / reputation / validation primitives in the ERC-8004 ecosystem without forking. Our extension is </w:t>
      </w:r>
      <w:r>
        <w:rPr>
          <w:i/>
        </w:rPr>
        <w:t>additive</w:t>
      </w:r>
      <w:r>
        <w:rPr/>
        <w:t xml:space="preserve">: a separate contract that takes </w:t>
      </w:r>
      <w:r>
        <w:rPr>
          <w:rStyle w:val="VerbatimChar"/>
        </w:rPr>
        <w:t>tokenId</w:t>
      </w:r>
      <w:r>
        <w:rPr/>
        <w:t xml:space="preserve"> as a foreign key.</w:t>
      </w:r>
    </w:p>
    <w:p>
      <w:pPr>
        <w:pStyle w:val="Heading3"/>
        <w:rPr/>
      </w:pPr>
      <w:bookmarkStart w:id="28" w:name="why-greenfield-not-ipfs-arweave"/>
      <w:r>
        <w:rPr/>
        <w:t>Why Greenfield (not IPFS / Arweave)?</w:t>
      </w:r>
      <w:bookmarkEnd w:id="28"/>
    </w:p>
    <w:p>
      <w:pPr>
        <w:pStyle w:val="Compact"/>
        <w:numPr>
          <w:ilvl w:val="0"/>
          <w:numId w:val="1"/>
        </w:numPr>
        <w:rPr/>
      </w:pPr>
      <w:r>
        <w:rPr>
          <w:b/>
        </w:rPr>
        <w:t>Owner-keyed permissions.</w:t>
      </w:r>
      <w:r>
        <w:rPr/>
        <w:t xml:space="preserve"> IPFS pinning is public-by-default and depends on social pinning networks; Arweave is permanent and public. Greenfield offers the access-control primitives an agent needs (private memory, third-party audit grants).</w:t>
      </w:r>
    </w:p>
    <w:p>
      <w:pPr>
        <w:pStyle w:val="Compact"/>
        <w:numPr>
          <w:ilvl w:val="0"/>
          <w:numId w:val="1"/>
        </w:numPr>
        <w:rPr/>
      </w:pPr>
      <w:r>
        <w:rPr>
          <w:b/>
        </w:rPr>
        <w:t>Cost predictability.</w:t>
      </w:r>
      <w:r>
        <w:rPr/>
        <w:t xml:space="preserve"> Per-byte storage with explicit billing, unlike Arweave’s one-time-payment-forever model that prices in long-tail uncertainty.</w:t>
      </w:r>
    </w:p>
    <w:p>
      <w:pPr>
        <w:pStyle w:val="Compact"/>
        <w:numPr>
          <w:ilvl w:val="0"/>
          <w:numId w:val="1"/>
        </w:numPr>
        <w:rPr/>
      </w:pPr>
      <w:r>
        <w:rPr>
          <w:b/>
        </w:rPr>
        <w:t>BNB-native.</w:t>
      </w:r>
      <w:r>
        <w:rPr/>
        <w:t xml:space="preserve"> No bridge, no separate token; users pay storage in BNB.</w:t>
      </w:r>
    </w:p>
    <w:p>
      <w:pPr>
        <w:pStyle w:val="Heading3"/>
        <w:rPr/>
      </w:pPr>
      <w:bookmarkStart w:id="29" w:name="X8b98bf3dc52681ae4585826c412830f43d1f97e"/>
      <w:r>
        <w:rPr/>
        <w:t xml:space="preserve">Why anchor only </w:t>
      </w:r>
      <w:r>
        <w:rPr>
          <w:rStyle w:val="VerbatimChar"/>
        </w:rPr>
        <w:t>state_root</w:t>
      </w:r>
      <w:r>
        <w:rPr/>
        <w:t xml:space="preserve"> on chain (not full state)?</w:t>
      </w:r>
      <w:bookmarkEnd w:id="29"/>
    </w:p>
    <w:p>
      <w:pPr>
        <w:pStyle w:val="FirstParagraph"/>
        <w:rPr/>
      </w:pPr>
      <w:r>
        <w:rPr/>
        <w:t>Cost and privacy. A 100 KB conversation history at 50 gwei costs roughly $50–100 to write to BSC; storing only the 32-byte hash costs cents. Privacy: full chat history on a public chain is unacceptable for many use cases.</w:t>
      </w:r>
    </w:p>
    <w:p>
      <w:pPr>
        <w:pStyle w:val="Heading3"/>
        <w:rPr/>
      </w:pPr>
      <w:bookmarkStart w:id="30" w:name="why-dpm-and-why-must-it-be-deterministic"/>
      <w:r>
        <w:rPr/>
        <w:t>Why DPM (and why must it be deterministic)?</w:t>
      </w:r>
      <w:bookmarkEnd w:id="30"/>
    </w:p>
    <w:p>
      <w:pPr>
        <w:pStyle w:val="FirstParagraph"/>
        <w:rPr/>
      </w:pPr>
      <w:r>
        <w:rPr/>
        <w:t xml:space="preserve">If the projection function </w:t>
      </w:r>
      <w:r>
        <w:rPr>
          <w:rStyle w:val="VerbatimChar"/>
        </w:rPr>
        <w:t>π(events, task, budget) → context</w:t>
      </w:r>
      <w:r>
        <w:rPr/>
        <w:t xml:space="preserve"> isn’t deterministic, two runtimes replaying the same EventLog produce different states, and </w:t>
      </w:r>
      <w:r>
        <w:rPr>
          <w:rStyle w:val="VerbatimChar"/>
        </w:rPr>
        <w:t>state_root</w:t>
      </w:r>
      <w:r>
        <w:rPr/>
        <w:t xml:space="preserve"> becomes meaningless. The DPM contract is: same events + same projection → same hash. Implementations MUST document any non-determinism (e.g. LLM calls that produce summaries) and pin those as </w:t>
      </w:r>
      <w:r>
        <w:rPr>
          <w:i/>
        </w:rPr>
        <w:t>new events</w:t>
      </w:r>
      <w:r>
        <w:rPr/>
        <w:t xml:space="preserve"> rather than hidden mutations.</w:t>
      </w:r>
    </w:p>
    <w:p>
      <w:pPr>
        <w:pStyle w:val="Heading3"/>
        <w:rPr/>
      </w:pPr>
      <w:bookmarkStart w:id="31" w:name="why-abc"/>
      <w:r>
        <w:rPr/>
        <w:t>Why ABC?</w:t>
      </w:r>
      <w:bookmarkEnd w:id="31"/>
    </w:p>
    <w:p>
      <w:pPr>
        <w:pStyle w:val="FirstParagraph"/>
        <w:rPr/>
      </w:pPr>
      <w:r>
        <w:rPr/>
        <w:t xml:space="preserve">Without explicit behaviour bounds, an agent’s drift over time is invisible. ABC declares hard rules (“never call </w:t>
      </w:r>
      <w:r>
        <w:rPr>
          <w:rStyle w:val="VerbatimChar"/>
        </w:rPr>
        <w:t>transfer()</w:t>
      </w:r>
      <w:r>
        <w:rPr/>
        <w:t xml:space="preserve"> to an unverified address”) and soft rules (“respond in &lt;2 paragraphs by default”). The </w:t>
      </w:r>
      <w:r>
        <w:rPr>
          <w:rStyle w:val="VerbatimChar"/>
        </w:rPr>
        <w:t>DriftScore</w:t>
      </w:r>
      <w:r>
        <w:rPr/>
        <w:t xml:space="preserve"> over an observation window makes violations a first-class signal — operators / users can detect when an agent is misbehaving even before a hard rule fires.</w:t>
      </w:r>
    </w:p>
    <w:p>
      <w:pPr>
        <w:pStyle w:val="Heading3"/>
        <w:rPr/>
      </w:pPr>
      <w:bookmarkStart w:id="32" w:name="X7141c606aa02acb0a7442a7fe81f230eef3bcff"/>
      <w:r>
        <w:rPr/>
        <w:t>Why ERC-8183 (not a custom commerce contract)?</w:t>
      </w:r>
      <w:bookmarkEnd w:id="32"/>
    </w:p>
    <w:p>
      <w:pPr>
        <w:pStyle w:val="FirstParagraph"/>
        <w:rPr/>
      </w:pPr>
      <w:r>
        <w:rPr/>
        <w:t xml:space="preserve">v0.1 of this BEP defined a parallel </w:t>
      </w:r>
      <w:r>
        <w:rPr>
          <w:rStyle w:val="VerbatimChar"/>
        </w:rPr>
        <w:t>TaskStateManager</w:t>
      </w:r>
      <w:r>
        <w:rPr/>
        <w:t xml:space="preserve"> for inter-agent task lifecycles. ERC-8183 (Feb 2026) now standardises exactly that primitive — and adds escrow, hooks, and meta-tx support that a custom contract would have to reinvent. Continuing to ship a parallel contract would fragment the agent-economy ecosystem on BNB Chain. Nexus delegates to ERC-8183 for commerce and contributes the persistent-memory layer ERC-8183 lacks. </w:t>
      </w:r>
      <w:r>
        <w:rPr>
          <w:rStyle w:val="VerbatimChar"/>
        </w:rPr>
        <w:t>TaskStateManager</w:t>
      </w:r>
      <w:r>
        <w:rPr/>
        <w:t xml:space="preserve"> is retained for </w:t>
      </w:r>
      <w:r>
        <w:rPr>
          <w:b/>
        </w:rPr>
        <w:t>intra-agent</w:t>
      </w:r>
      <w:r>
        <w:rPr/>
        <w:t xml:space="preserve"> task tracking (planner sub-tasks within one agent), which is a different scope.</w:t>
      </w:r>
    </w:p>
    <w:p>
      <w:pPr>
        <w:pStyle w:val="Heading2"/>
        <w:rPr/>
      </w:pPr>
      <w:bookmarkStart w:id="33" w:name="backwards-compatibility"/>
      <w:r>
        <w:rPr/>
        <w:t>Backwards compatibility</w:t>
      </w:r>
      <w:bookmarkEnd w:id="33"/>
    </w:p>
    <w:p>
      <w:pPr>
        <w:pStyle w:val="Compact"/>
        <w:numPr>
          <w:ilvl w:val="0"/>
          <w:numId w:val="1"/>
        </w:numPr>
        <w:rPr/>
      </w:pPr>
      <w:r>
        <w:rPr>
          <w:b/>
        </w:rPr>
        <w:t>ERC-8004:</w:t>
      </w:r>
      <w:r>
        <w:rPr/>
        <w:t xml:space="preserve"> unchanged. Nexus does not modify the Identity Registry contract; existing ERC-8004 deployments work as-is.</w:t>
      </w:r>
    </w:p>
    <w:p>
      <w:pPr>
        <w:pStyle w:val="Compact"/>
        <w:numPr>
          <w:ilvl w:val="0"/>
          <w:numId w:val="1"/>
        </w:numPr>
        <w:rPr/>
      </w:pPr>
      <w:r>
        <w:rPr>
          <w:b/>
        </w:rPr>
        <w:t>ERC-8183:</w:t>
      </w:r>
      <w:r>
        <w:rPr/>
        <w:t xml:space="preserve"> unchanged. Nexus consumes the standard as defined.</w:t>
      </w:r>
    </w:p>
    <w:p>
      <w:pPr>
        <w:pStyle w:val="Compact"/>
        <w:numPr>
          <w:ilvl w:val="0"/>
          <w:numId w:val="1"/>
        </w:numPr>
        <w:rPr/>
      </w:pPr>
      <w:r>
        <w:rPr>
          <w:b/>
        </w:rPr>
        <w:t>Greenfield:</w:t>
      </w:r>
      <w:r>
        <w:rPr/>
        <w:t xml:space="preserve"> uses standard Greenfield bucket / object APIs.</w:t>
      </w:r>
    </w:p>
    <w:p>
      <w:pPr>
        <w:pStyle w:val="Compact"/>
        <w:numPr>
          <w:ilvl w:val="0"/>
          <w:numId w:val="1"/>
        </w:numPr>
        <w:rPr/>
      </w:pPr>
      <w:r>
        <w:rPr>
          <w:b/>
        </w:rPr>
        <w:t>Pre-Nexus agents:</w:t>
      </w:r>
      <w:r>
        <w:rPr/>
        <w:t xml:space="preserve"> an existing ERC-8004 agent without a state extension simply has </w:t>
      </w:r>
      <w:r>
        <w:rPr>
          <w:rStyle w:val="VerbatimChar"/>
        </w:rPr>
        <w:t>getState(tokenId).stateRoot ==   bytes32(0)</w:t>
      </w:r>
      <w:r>
        <w:rPr/>
        <w:t>. Reading still works; writing is no-op until a runtime initialises the bucket and posts the first manifest.</w:t>
      </w:r>
    </w:p>
    <w:p>
      <w:pPr>
        <w:pStyle w:val="Heading2"/>
        <w:rPr/>
      </w:pPr>
      <w:bookmarkStart w:id="34" w:name="reference-implementation"/>
      <w:r>
        <w:rPr/>
        <w:t>Reference implementation</w:t>
      </w:r>
      <w:bookmarkEnd w:id="34"/>
    </w:p>
    <w:p>
      <w:pPr>
        <w:pStyle w:val="FirstParagraph"/>
        <w:rPr/>
      </w:pPr>
      <w:r>
        <w:rPr>
          <w:b/>
        </w:rPr>
        <w:t>Repository:</w:t>
      </w:r>
      <w:r>
        <w:rPr/>
        <w:t xml:space="preserve"> https://github.com/bnbchain/nexus</w:t>
      </w:r>
    </w:p>
    <w:tbl>
      <w:tblPr>
        <w:tblStyle w:val="Table"/>
        <w:tblW w:w="5000" w:type="pct"/>
        <w:jc w:val="start"/>
        <w:tblInd w:w="0" w:type="dxa"/>
        <w:tblLayout w:type="fixed"/>
        <w:tblCellMar>
          <w:top w:w="0" w:type="dxa"/>
          <w:start w:w="108" w:type="dxa"/>
          <w:bottom w:w="0" w:type="dxa"/>
          <w:end w:w="108" w:type="dxa"/>
        </w:tblCellMar>
        <w:tblLook w:firstRow="1"/>
      </w:tblPr>
      <w:tblGrid>
        <w:gridCol w:w="1890"/>
        <w:gridCol w:w="2080"/>
        <w:gridCol w:w="5390"/>
      </w:tblGrid>
      <w:tr>
        <w:trPr>
          <w:cnfStyle w:firstRow="1"/>
        </w:trPr>
        <w:tc>
          <w:tcPr>
            <w:tcW w:w="18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20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Package</w:t>
            </w:r>
          </w:p>
        </w:tc>
        <w:tc>
          <w:tcPr>
            <w:tcW w:w="53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18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SDK</w:t>
            </w:r>
          </w:p>
        </w:tc>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packages/sdk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nexus_core</w:t>
            </w:r>
            <w:r>
              <w:rPr>
                <w:rFonts w:eastAsia="Cambria" w:cs=""/>
                <w:kern w:val="0"/>
                <w:sz w:val="24"/>
                <w:szCs w:val="24"/>
                <w:lang w:val="en-US" w:eastAsia="en-US" w:bidi="ar-SA"/>
              </w:rPr>
              <w:t>)</w:t>
            </w:r>
          </w:p>
        </w:tc>
        <w:tc>
          <w:tcPr>
            <w:tcW w:w="53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DPM, ABC, anchor batch builder, JCS canonicalisation, SHA-256 / keccak-256 hashing (</w:t>
            </w:r>
            <w:r>
              <w:rPr>
                <w:rStyle w:val="VerbatimChar"/>
                <w:rFonts w:eastAsia="Cambria" w:cs=""/>
                <w:kern w:val="0"/>
                <w:szCs w:val="24"/>
                <w:lang w:val="en-US" w:eastAsia="en-US" w:bidi="ar-SA"/>
              </w:rPr>
              <w:t>nexus_core.anchor</w:t>
            </w:r>
            <w:r>
              <w:rPr>
                <w:rFonts w:eastAsia="Cambria" w:cs=""/>
                <w:kern w:val="0"/>
                <w:sz w:val="24"/>
                <w:szCs w:val="24"/>
                <w:lang w:val="en-US" w:eastAsia="en-US" w:bidi="ar-SA"/>
              </w:rPr>
              <w:t>).</w:t>
            </w:r>
          </w:p>
        </w:tc>
      </w:tr>
      <w:tr>
        <w:trPr/>
        <w:tc>
          <w:tcPr>
            <w:tcW w:w="18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Framework</w:t>
            </w:r>
          </w:p>
        </w:tc>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packages/nexus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nexus</w:t>
            </w:r>
            <w:r>
              <w:rPr>
                <w:rFonts w:eastAsia="Cambria" w:cs=""/>
                <w:kern w:val="0"/>
                <w:sz w:val="24"/>
                <w:szCs w:val="24"/>
                <w:lang w:val="en-US" w:eastAsia="en-US" w:bidi="ar-SA"/>
              </w:rPr>
              <w:t>)</w:t>
            </w:r>
          </w:p>
        </w:tc>
        <w:tc>
          <w:tcPr>
            <w:tcW w:w="53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agent runtime, Evolution (memory / skill / persona / knowledge), MCP-aware tool registry.</w:t>
            </w:r>
          </w:p>
        </w:tc>
      </w:tr>
      <w:tr>
        <w:trPr/>
        <w:tc>
          <w:tcPr>
            <w:tcW w:w="18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Server</w:t>
            </w:r>
          </w:p>
        </w:tc>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packages/server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nexus_server</w:t>
            </w:r>
            <w:r>
              <w:rPr>
                <w:rFonts w:eastAsia="Cambria" w:cs=""/>
                <w:kern w:val="0"/>
                <w:sz w:val="24"/>
                <w:szCs w:val="24"/>
                <w:lang w:val="en-US" w:eastAsia="en-US" w:bidi="ar-SA"/>
              </w:rPr>
              <w:t>)</w:t>
            </w:r>
          </w:p>
        </w:tc>
        <w:tc>
          <w:tcPr>
            <w:tcW w:w="53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Multi-tenant FastAPI: passkey auth, LLM gateway, /agent/{state,timeline,memories,messages} read views, runtime lifecycle.</w:t>
            </w:r>
          </w:p>
        </w:tc>
      </w:tr>
      <w:tr>
        <w:trPr/>
        <w:tc>
          <w:tcPr>
            <w:tcW w:w="18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Desktop client</w:t>
            </w:r>
          </w:p>
        </w:tc>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packages/desktop</w:t>
            </w:r>
          </w:p>
        </w:tc>
        <w:tc>
          <w:tcPr>
            <w:tcW w:w="53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Avalonia C# thin client (Windows / macOS / Linux).</w:t>
            </w:r>
          </w:p>
        </w:tc>
      </w:tr>
      <w:tr>
        <w:trPr/>
        <w:tc>
          <w:tcPr>
            <w:tcW w:w="18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Solidity</w:t>
            </w:r>
          </w:p>
        </w:tc>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contracts/</w:t>
            </w:r>
          </w:p>
        </w:tc>
        <w:tc>
          <w:tcPr>
            <w:tcW w:w="539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AgentStateExtension.sol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TaskStateManager.sol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NexusEvolutionHook.sol</w:t>
            </w:r>
            <w:r>
              <w:rPr>
                <w:rFonts w:eastAsia="Cambria" w:cs=""/>
                <w:kern w:val="0"/>
                <w:sz w:val="24"/>
                <w:szCs w:val="24"/>
                <w:lang w:val="en-US" w:eastAsia="en-US" w:bidi="ar-SA"/>
              </w:rPr>
              <w:t>.</w:t>
            </w:r>
          </w:p>
        </w:tc>
      </w:tr>
    </w:tbl>
    <w:p>
      <w:pPr>
        <w:pStyle w:val="BodyText"/>
        <w:rPr/>
      </w:pPr>
      <w:r>
        <w:rPr/>
        <w:t xml:space="preserve">The </w:t>
      </w:r>
      <w:r>
        <w:rPr>
          <w:rStyle w:val="VerbatimChar"/>
        </w:rPr>
        <w:t>nexus_core.anchor</w:t>
      </w:r>
      <w:r>
        <w:rPr/>
        <w:t xml:space="preserve"> module pins canonical bytes and SHA-256 digests at the byte level — see </w:t>
      </w:r>
      <w:r>
        <w:rPr>
          <w:rStyle w:val="VerbatimChar"/>
        </w:rPr>
        <w:t>packages/sdk/tests/test_anchor.py</w:t>
      </w:r>
      <w:r>
        <w:rPr/>
        <w:t xml:space="preserve"> for the regression tests that exercise it.</w:t>
      </w:r>
    </w:p>
    <w:p>
      <w:pPr>
        <w:pStyle w:val="Heading2"/>
        <w:rPr/>
      </w:pPr>
      <w:bookmarkStart w:id="35" w:name="security-considerations"/>
      <w:r>
        <w:rPr/>
        <w:t>Security considerations</w:t>
      </w:r>
      <w:bookmarkEnd w:id="35"/>
    </w:p>
    <w:p>
      <w:pPr>
        <w:pStyle w:val="Heading3"/>
        <w:rPr/>
      </w:pPr>
      <w:bookmarkStart w:id="36" w:name="authorisation"/>
      <w:r>
        <w:rPr/>
        <w:t>Authorisation</w:t>
      </w:r>
      <w:bookmarkEnd w:id="36"/>
    </w:p>
    <w:p>
      <w:pPr>
        <w:pStyle w:val="Compact"/>
        <w:numPr>
          <w:ilvl w:val="0"/>
          <w:numId w:val="1"/>
        </w:numPr>
        <w:rPr/>
      </w:pPr>
      <w:r>
        <w:rPr>
          <w:rStyle w:val="VerbatimChar"/>
        </w:rPr>
        <w:t>updateStateRoot</w:t>
      </w:r>
      <w:r>
        <w:rPr/>
        <w:t xml:space="preserve"> is authorised only by NFT owner or the current </w:t>
      </w:r>
      <w:r>
        <w:rPr>
          <w:rStyle w:val="VerbatimChar"/>
        </w:rPr>
        <w:t>activeRuntime</w:t>
      </w:r>
      <w:r>
        <w:rPr/>
        <w:t>. A compromised runtime cannot transfer agent ownership (only mutate state under the existing handoff).</w:t>
      </w:r>
    </w:p>
    <w:p>
      <w:pPr>
        <w:pStyle w:val="Compact"/>
        <w:numPr>
          <w:ilvl w:val="0"/>
          <w:numId w:val="1"/>
        </w:numPr>
        <w:rPr/>
      </w:pPr>
      <w:r>
        <w:rPr>
          <w:rStyle w:val="VerbatimChar"/>
        </w:rPr>
        <w:t>setActiveRuntime</w:t>
      </w:r>
      <w:r>
        <w:rPr/>
        <w:t xml:space="preserve"> requires NFT-owner signature. A user can always evict a misbehaving runtime.</w:t>
      </w:r>
    </w:p>
    <w:p>
      <w:pPr>
        <w:pStyle w:val="Heading3"/>
        <w:rPr/>
      </w:pPr>
      <w:bookmarkStart w:id="37" w:name="replay-concurrent-writes"/>
      <w:r>
        <w:rPr/>
        <w:t>Replay / concurrent writes</w:t>
      </w:r>
      <w:bookmarkEnd w:id="37"/>
    </w:p>
    <w:p>
      <w:pPr>
        <w:pStyle w:val="Compact"/>
        <w:numPr>
          <w:ilvl w:val="0"/>
          <w:numId w:val="1"/>
        </w:numPr>
        <w:rPr/>
      </w:pPr>
      <w:r>
        <w:rPr>
          <w:rStyle w:val="VerbatimChar"/>
        </w:rPr>
        <w:t>AgentStateExtension</w:t>
      </w:r>
      <w:r>
        <w:rPr/>
        <w:t xml:space="preserve"> does not use a version counter; the authorisation check (single </w:t>
      </w:r>
      <w:r>
        <w:rPr>
          <w:rStyle w:val="VerbatimChar"/>
        </w:rPr>
        <w:t>activeRuntime</w:t>
      </w:r>
      <w:r>
        <w:rPr/>
        <w:t xml:space="preserve"> at a time) prevents the race. Operators that need finer-grained concurrency can layer optimistic concurrency in their manifest format.</w:t>
      </w:r>
    </w:p>
    <w:p>
      <w:pPr>
        <w:pStyle w:val="Compact"/>
        <w:numPr>
          <w:ilvl w:val="0"/>
          <w:numId w:val="1"/>
        </w:numPr>
        <w:rPr/>
      </w:pPr>
      <w:r>
        <w:rPr>
          <w:rStyle w:val="VerbatimChar"/>
        </w:rPr>
        <w:t>TaskStateManager</w:t>
      </w:r>
      <w:r>
        <w:rPr/>
        <w:t xml:space="preserve"> (intra-agent tasks) uses an explicit </w:t>
      </w:r>
      <w:r>
        <w:rPr>
          <w:rStyle w:val="VerbatimChar"/>
        </w:rPr>
        <w:t>expectedVersion</w:t>
      </w:r>
      <w:r>
        <w:rPr/>
        <w:t xml:space="preserve"> counter for optimistic concurrency.</w:t>
      </w:r>
    </w:p>
    <w:p>
      <w:pPr>
        <w:pStyle w:val="Heading3"/>
        <w:rPr/>
      </w:pPr>
      <w:bookmarkStart w:id="38" w:name="state-integrity"/>
      <w:r>
        <w:rPr/>
        <w:t>State integrity</w:t>
      </w:r>
      <w:bookmarkEnd w:id="38"/>
    </w:p>
    <w:p>
      <w:pPr>
        <w:pStyle w:val="Compact"/>
        <w:numPr>
          <w:ilvl w:val="0"/>
          <w:numId w:val="1"/>
        </w:numPr>
        <w:rPr/>
      </w:pPr>
      <w:r>
        <w:rPr>
          <w:rStyle w:val="VerbatimChar"/>
        </w:rPr>
        <w:t>state_root</w:t>
      </w:r>
      <w:r>
        <w:rPr/>
        <w:t xml:space="preserve"> is a content hash. A tampered Greenfield manifest fails verification at the next reader.</w:t>
      </w:r>
    </w:p>
    <w:p>
      <w:pPr>
        <w:pStyle w:val="Compact"/>
        <w:numPr>
          <w:ilvl w:val="0"/>
          <w:numId w:val="1"/>
        </w:numPr>
        <w:rPr/>
      </w:pPr>
      <w:r>
        <w:rPr/>
        <w:t>The hash chain (</w:t>
      </w:r>
      <w:r>
        <w:rPr>
          <w:rStyle w:val="VerbatimChar"/>
        </w:rPr>
        <w:t>prev_root</w:t>
      </w:r>
      <w:r>
        <w:rPr/>
        <w:t xml:space="preserve"> field) lets verifiers walk history and detect any silent reorg.</w:t>
      </w:r>
    </w:p>
    <w:p>
      <w:pPr>
        <w:pStyle w:val="Heading3"/>
        <w:rPr/>
      </w:pPr>
      <w:bookmarkStart w:id="39" w:name="greenfield-specific-risks"/>
      <w:r>
        <w:rPr/>
        <w:t>Greenfield-specific risks</w:t>
      </w:r>
      <w:bookmarkEnd w:id="39"/>
    </w:p>
    <w:p>
      <w:pPr>
        <w:pStyle w:val="Compact"/>
        <w:numPr>
          <w:ilvl w:val="0"/>
          <w:numId w:val="1"/>
        </w:numPr>
        <w:rPr/>
      </w:pPr>
      <w:r>
        <w:rPr/>
        <w:t>If the bucket owner accidentally revokes their own write permission, the agent freezes. Recovery requires the wallet to re-grant. We recommend runtimes refuse to start without a permission self-check.</w:t>
      </w:r>
    </w:p>
    <w:p>
      <w:pPr>
        <w:pStyle w:val="Compact"/>
        <w:numPr>
          <w:ilvl w:val="0"/>
          <w:numId w:val="1"/>
        </w:numPr>
        <w:rPr/>
      </w:pPr>
      <w:r>
        <w:rPr/>
        <w:t>Greenfield outages translate to a write-stall, not data loss (events stay in the runtime’s local EventLog until uploadable).</w:t>
      </w:r>
    </w:p>
    <w:p>
      <w:pPr>
        <w:pStyle w:val="Heading3"/>
        <w:rPr/>
      </w:pPr>
      <w:bookmarkStart w:id="40" w:name="llm-tool-risks"/>
      <w:r>
        <w:rPr/>
        <w:t>LLM / tool risks</w:t>
      </w:r>
      <w:bookmarkEnd w:id="40"/>
    </w:p>
    <w:p>
      <w:pPr>
        <w:pStyle w:val="Compact"/>
        <w:numPr>
          <w:ilvl w:val="0"/>
          <w:numId w:val="1"/>
        </w:numPr>
        <w:rPr/>
      </w:pPr>
      <w:r>
        <w:rPr/>
        <w:t xml:space="preserve">The Nexus runtime does not constrain the LLM’s outputs at the protocol layer — that is the ABC engine’s job. ABC is </w:t>
      </w:r>
      <w:r>
        <w:rPr>
          <w:i/>
        </w:rPr>
        <w:t>advisory</w:t>
      </w:r>
      <w:r>
        <w:rPr/>
        <w:t xml:space="preserve"> by default; deployments concerned with hard safety bounds (e.g. financial agents) should pin </w:t>
      </w:r>
      <w:r>
        <w:rPr>
          <w:rStyle w:val="VerbatimChar"/>
        </w:rPr>
        <w:t>intervention_threshold</w:t>
      </w:r>
      <w:r>
        <w:rPr/>
        <w:t xml:space="preserve"> to a low value and review every flagged turn before signing state updates on chain.</w:t>
      </w:r>
    </w:p>
    <w:p>
      <w:pPr>
        <w:pStyle w:val="Heading3"/>
        <w:rPr/>
      </w:pPr>
      <w:bookmarkStart w:id="41" w:name="privacy"/>
      <w:r>
        <w:rPr/>
        <w:t>Privacy</w:t>
      </w:r>
      <w:bookmarkEnd w:id="41"/>
    </w:p>
    <w:p>
      <w:pPr>
        <w:pStyle w:val="Compact"/>
        <w:numPr>
          <w:ilvl w:val="0"/>
          <w:numId w:val="1"/>
        </w:numPr>
        <w:rPr/>
      </w:pPr>
      <w:r>
        <w:rPr/>
        <w:t>Anything posted to Greenfield is visible to anyone the bucket owner has granted read. Users SHOULD assume that posting sensitive content into the EventLog persists it indefinitely (subject to Greenfield retention) and behave accordingly.</w:t>
      </w:r>
    </w:p>
    <w:p>
      <w:pPr>
        <w:pStyle w:val="Compact"/>
        <w:numPr>
          <w:ilvl w:val="0"/>
          <w:numId w:val="1"/>
        </w:numPr>
        <w:rPr/>
      </w:pPr>
      <w:r>
        <w:rPr/>
        <w:t>Future work: optional encryption of EventLog entries at rest with a key derived from the wallet, so that even an audit-grant recipient sees only ciphertext until the user releases the key.</w:t>
      </w:r>
    </w:p>
    <w:p>
      <w:pPr>
        <w:pStyle w:val="Heading2"/>
        <w:rPr/>
      </w:pPr>
      <w:bookmarkStart w:id="42" w:name="open-questions"/>
      <w:r>
        <w:rPr/>
        <w:t>Open questions</w:t>
      </w:r>
      <w:bookmarkEnd w:id="42"/>
    </w:p>
    <w:p>
      <w:pPr>
        <w:pStyle w:val="Compact"/>
        <w:numPr>
          <w:ilvl w:val="0"/>
          <w:numId w:val="22"/>
        </w:numPr>
        <w:rPr/>
      </w:pPr>
      <w:r>
        <w:rPr>
          <w:b/>
        </w:rPr>
        <w:t>Cross-chain identity.</w:t>
      </w:r>
      <w:r>
        <w:rPr/>
        <w:t xml:space="preserve"> Should </w:t>
      </w:r>
      <w:r>
        <w:rPr>
          <w:rStyle w:val="VerbatimChar"/>
        </w:rPr>
        <w:t>tokenId</w:t>
      </w:r>
      <w:r>
        <w:rPr/>
        <w:t xml:space="preserve"> be portable across BSC mainnet / testnet / sidechains? Today it isn’t — </w:t>
      </w:r>
      <w:r>
        <w:rPr>
          <w:rStyle w:val="VerbatimChar"/>
        </w:rPr>
        <w:t>agent_id_to_int</w:t>
      </w:r>
      <w:r>
        <w:rPr/>
        <w:t xml:space="preserve"> is keyed by tokenId only, not by chain id. A future amendment may add </w:t>
      </w:r>
      <w:r>
        <w:rPr>
          <w:rStyle w:val="VerbatimChar"/>
        </w:rPr>
        <w:t>(chainId, tokenId)</w:t>
      </w:r>
      <w:r>
        <w:rPr/>
        <w:t xml:space="preserve"> namespacing.</w:t>
      </w:r>
    </w:p>
    <w:p>
      <w:pPr>
        <w:pStyle w:val="Compact"/>
        <w:numPr>
          <w:ilvl w:val="0"/>
          <w:numId w:val="3"/>
        </w:numPr>
        <w:rPr/>
      </w:pPr>
      <w:r>
        <w:rPr>
          <w:b/>
        </w:rPr>
        <w:t>Non-custodial mode.</w:t>
      </w:r>
      <w:r>
        <w:rPr/>
        <w:t xml:space="preserve"> The current reference server uses a single </w:t>
      </w:r>
      <w:r>
        <w:rPr>
          <w:rStyle w:val="VerbatimChar"/>
        </w:rPr>
        <w:t>SERVER_PRIVATE_KEY</w:t>
      </w:r>
      <w:r>
        <w:rPr/>
        <w:t xml:space="preserve"> to sign on behalf of all users (custodial). A user-key-per-agent mode (passkey + WalletConnect) is sketched in </w:t>
      </w:r>
      <w:r>
        <w:rPr>
          <w:rStyle w:val="VerbatimChar"/>
        </w:rPr>
        <w:t>ROADMAP.md</w:t>
      </w:r>
      <w:r>
        <w:rPr/>
        <w:t xml:space="preserve"> but not yet specified here.</w:t>
      </w:r>
    </w:p>
    <w:p>
      <w:pPr>
        <w:pStyle w:val="Compact"/>
        <w:numPr>
          <w:ilvl w:val="0"/>
          <w:numId w:val="3"/>
        </w:numPr>
        <w:rPr/>
      </w:pPr>
      <w:r>
        <w:rPr>
          <w:b/>
        </w:rPr>
        <w:t>Manifest size cap.</w:t>
      </w:r>
      <w:r>
        <w:rPr/>
        <w:t xml:space="preserve"> A growing EventLog can balloon </w:t>
      </w:r>
      <w:r>
        <w:rPr>
          <w:rStyle w:val="VerbatimChar"/>
        </w:rPr>
        <w:t>manifest.json</w:t>
      </w:r>
      <w:r>
        <w:rPr/>
        <w:t xml:space="preserve"> size. The reference implementation paginates by uploading periodic compactions — but the BEP does not yet normative a max-size or pagination policy.</w:t>
      </w:r>
    </w:p>
    <w:p>
      <w:pPr>
        <w:pStyle w:val="Compact"/>
        <w:numPr>
          <w:ilvl w:val="0"/>
          <w:numId w:val="3"/>
        </w:numPr>
        <w:rPr/>
      </w:pPr>
      <w:r>
        <w:rPr>
          <w:b/>
        </w:rPr>
        <w:t>Active-runtime deactivation grace period.</w:t>
      </w:r>
      <w:r>
        <w:rPr/>
        <w:t xml:space="preserve"> When NFT-owner calls </w:t>
      </w:r>
      <w:r>
        <w:rPr>
          <w:rStyle w:val="VerbatimChar"/>
        </w:rPr>
        <w:t>setActiveRuntime</w:t>
      </w:r>
      <w:r>
        <w:rPr/>
        <w:t>, the previous runtime may have in-flight writes. Today there is no on-chain grace window — the eviction is immediate. A future amendment may add a 1–2 block pending state.</w:t>
      </w:r>
    </w:p>
    <w:p>
      <w:pPr>
        <w:pStyle w:val="Heading2"/>
        <w:rPr/>
      </w:pPr>
      <w:bookmarkStart w:id="43" w:name="reference"/>
      <w:r>
        <w:rPr/>
        <w:t>Reference</w:t>
      </w:r>
      <w:bookmarkEnd w:id="43"/>
    </w:p>
    <w:p>
      <w:pPr>
        <w:pStyle w:val="Compact"/>
        <w:numPr>
          <w:ilvl w:val="0"/>
          <w:numId w:val="1"/>
        </w:numPr>
        <w:rPr/>
      </w:pPr>
      <w:r>
        <w:rPr/>
        <w:t>ERC-8004 Agent Identity Registry: https://eips.ethereum.org/EIPS/erc-8004</w:t>
      </w:r>
    </w:p>
    <w:p>
      <w:pPr>
        <w:pStyle w:val="Compact"/>
        <w:numPr>
          <w:ilvl w:val="0"/>
          <w:numId w:val="1"/>
        </w:numPr>
        <w:rPr/>
      </w:pPr>
      <w:r>
        <w:rPr/>
        <w:t>ERC-8183 Agentic Commerce: https://eips.ethereum.org/EIPS/eip-8183</w:t>
      </w:r>
    </w:p>
    <w:p>
      <w:pPr>
        <w:pStyle w:val="Compact"/>
        <w:numPr>
          <w:ilvl w:val="0"/>
          <w:numId w:val="1"/>
        </w:numPr>
        <w:rPr/>
      </w:pPr>
      <w:r>
        <w:rPr/>
        <w:t>BNB Greenfield documentation: https://docs.bnbchain.org/bnb-greenfield/</w:t>
      </w:r>
    </w:p>
    <w:p>
      <w:pPr>
        <w:pStyle w:val="Compact"/>
        <w:numPr>
          <w:ilvl w:val="0"/>
          <w:numId w:val="1"/>
        </w:numPr>
        <w:rPr/>
      </w:pPr>
      <w:r>
        <w:rPr/>
        <w:t>Reference implementation: https://github.com/bnbchain/nexus</w:t>
      </w:r>
    </w:p>
    <w:p>
      <w:pPr>
        <w:pStyle w:val="Compact"/>
        <w:numPr>
          <w:ilvl w:val="0"/>
          <w:numId w:val="1"/>
        </w:numPr>
        <w:rPr/>
      </w:pPr>
      <w:r>
        <w:rPr/>
        <w:t xml:space="preserve">Architecture overview: </w:t>
      </w:r>
      <w:hyperlink r:id="rId3">
        <w:r>
          <w:rPr>
            <w:rStyle w:val="Style"/>
            <w:rFonts w:ascii="Consolas" w:hAnsi="Consolas"/>
            <w:sz w:val="22"/>
          </w:rPr>
          <w:t>ARCHITECTURE.md</w:t>
        </w:r>
      </w:hyperlink>
    </w:p>
    <w:p>
      <w:pPr>
        <w:pStyle w:val="Compact"/>
        <w:numPr>
          <w:ilvl w:val="0"/>
          <w:numId w:val="1"/>
        </w:numPr>
        <w:rPr/>
      </w:pPr>
      <w:r>
        <w:rPr/>
        <w:t xml:space="preserve">Conceptual primer: </w:t>
      </w:r>
      <w:hyperlink r:id="rId4">
        <w:r>
          <w:rPr>
            <w:rStyle w:val="Style"/>
            <w:rFonts w:ascii="Consolas" w:hAnsi="Consolas"/>
            <w:sz w:val="22"/>
          </w:rPr>
          <w:t>docs/concepts/dpm.md</w:t>
        </w:r>
      </w:hyperlink>
      <w:r>
        <w:rPr/>
        <w:t xml:space="preserve">, </w:t>
      </w:r>
      <w:hyperlink r:id="rId5">
        <w:r>
          <w:rPr>
            <w:rStyle w:val="Style"/>
            <w:rFonts w:ascii="Consolas" w:hAnsi="Consolas"/>
            <w:sz w:val="22"/>
          </w:rPr>
          <w:t>docs/concepts/abc.md</w:t>
        </w:r>
      </w:hyperlink>
      <w:r>
        <w:rPr/>
        <w:t xml:space="preserve">, </w:t>
      </w:r>
      <w:hyperlink r:id="rId6">
        <w:r>
          <w:rPr>
            <w:rStyle w:val="Style"/>
            <w:rFonts w:ascii="Consolas" w:hAnsi="Consolas"/>
            <w:sz w:val="22"/>
          </w:rPr>
          <w:t>docs/concepts/identity.md</w:t>
        </w:r>
      </w:hyperlink>
    </w:p>
    <w:p>
      <w:pPr>
        <w:pStyle w:val="Heading2"/>
        <w:rPr/>
      </w:pPr>
      <w:bookmarkStart w:id="44" w:name="copyright"/>
      <w:r>
        <w:rPr/>
        <w:t>Copyright</w:t>
      </w:r>
      <w:bookmarkEnd w:id="44"/>
    </w:p>
    <w:p>
      <w:pPr>
        <w:pStyle w:val="FirstParagraph"/>
        <w:spacing w:before="180" w:after="180"/>
        <w:rPr/>
      </w:pPr>
      <w:r>
        <w:rPr/>
        <w:t xml:space="preserve">Copyright and related rights waived via </w:t>
      </w:r>
      <w:hyperlink r:id="rId7">
        <w:r>
          <w:rPr>
            <w:rStyle w:val="Hyperlink"/>
          </w:rPr>
          <w:t>CC0</w:t>
        </w:r>
      </w:hyperlink>
      <w:r>
        <w:rPr/>
        <w: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6">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sessions/lucid-amazing-ride/mnt/rune-protocol/docs/exports/design/falsifiable-evolution.md" TargetMode="External"/><Relationship Id="rId3" Type="http://schemas.openxmlformats.org/officeDocument/2006/relationships/hyperlink" Target="../../sessions/lucid-amazing-ride/mnt/rune-protocol/docs/ARCHITECTURE.md" TargetMode="External"/><Relationship Id="rId4" Type="http://schemas.openxmlformats.org/officeDocument/2006/relationships/hyperlink" Target="../../sessions/lucid-amazing-ride/mnt/rune-protocol/docs/exports/concepts/dpm.md" TargetMode="External"/><Relationship Id="rId5" Type="http://schemas.openxmlformats.org/officeDocument/2006/relationships/hyperlink" Target="../../sessions/lucid-amazing-ride/mnt/rune-protocol/docs/exports/concepts/abc.md" TargetMode="External"/><Relationship Id="rId6" Type="http://schemas.openxmlformats.org/officeDocument/2006/relationships/hyperlink" Target="../../sessions/lucid-amazing-ride/mnt/rune-protocol/docs/exports/concepts/identity.md" TargetMode="External"/><Relationship Id="rId7" Type="http://schemas.openxmlformats.org/officeDocument/2006/relationships/hyperlink" Target="https://creativecommons.org/publicdomain/zero/1.0/"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2026-05-04T18:56:34Z</dcterms:created>
  <dc:creator/>
  <dc:description/>
  <dc:language>en-US</dc:language>
  <cp:lastModifiedBy/>
  <dcterms:modified xsi:type="dcterms:W3CDTF">2026-05-04T18:56:34Z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