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nexus-marketing-brief"/>
      <w:r>
        <w:rPr/>
        <w:t>Nexus — Marketing Brief</w:t>
      </w:r>
      <w:bookmarkEnd w:id="0"/>
    </w:p>
    <w:p>
      <w:pPr>
        <w:pStyle w:val="BlockText"/>
        <w:rPr/>
      </w:pPr>
      <w:r>
        <w:rPr/>
        <w:t xml:space="preserve">Source of truth: </w:t>
      </w:r>
      <w:hyperlink r:id="rId2">
        <w:r>
          <w:rPr>
            <w:rStyle w:val="Style"/>
            <w:rFonts w:ascii="Consolas" w:hAnsi="Consolas"/>
            <w:sz w:val="22"/>
          </w:rPr>
          <w:t>docs/BEP-nexus.md</w:t>
        </w:r>
      </w:hyperlink>
      <w:r>
        <w:rPr/>
        <w:t xml:space="preserve"> v0.4. This brief is written for the marketing team. Engineers, please read the BEP.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the-one-liner"/>
      <w:r>
        <w:rPr/>
        <w:t>The one-liner</w:t>
      </w:r>
      <w:bookmarkEnd w:id="1"/>
    </w:p>
    <w:p>
      <w:pPr>
        <w:pStyle w:val="BlockText"/>
        <w:rPr/>
      </w:pPr>
      <w:r>
        <w:rPr>
          <w:b/>
        </w:rPr>
        <w:t>Nexus turns AI agents into BNB Chain assets — portable across runtimes, auditable end-to-end, and capable of doing business with each other on chain.</w:t>
      </w:r>
    </w:p>
    <w:p>
      <w:pPr>
        <w:pStyle w:val="FirstParagraph"/>
        <w:rPr/>
      </w:pPr>
      <w:r>
        <w:rPr/>
        <w:t>If a journalist gives you 10 seconds, say that.</w:t>
      </w:r>
    </w:p>
    <w:p>
      <w:pPr>
        <w:pStyle w:val="Heading2"/>
        <w:rPr/>
      </w:pPr>
      <w:bookmarkStart w:id="2" w:name="the-30-second-pitch"/>
      <w:r>
        <w:rPr/>
        <w:t>The 30-second pitch</w:t>
      </w:r>
      <w:bookmarkEnd w:id="2"/>
    </w:p>
    <w:p>
      <w:pPr>
        <w:pStyle w:val="FirstParagraph"/>
        <w:rPr/>
      </w:pPr>
      <w:r>
        <w:rPr/>
        <w:t xml:space="preserve">AI agents today are processes. Kill the server, switch the operator, change the cloud — the agent and everything it has learned is gone. You don’t </w:t>
      </w:r>
      <w:r>
        <w:rPr>
          <w:i/>
        </w:rPr>
        <w:t>own</w:t>
      </w:r>
      <w:r>
        <w:rPr/>
        <w:t xml:space="preserve"> the agent; you rent it from whoever hosts it.</w:t>
      </w:r>
    </w:p>
    <w:p>
      <w:pPr>
        <w:pStyle w:val="BodyText"/>
        <w:rPr/>
      </w:pPr>
      <w:r>
        <w:rPr>
          <w:b/>
        </w:rPr>
        <w:t>Nexus changes that.</w:t>
      </w:r>
      <w:r>
        <w:rPr/>
        <w:t xml:space="preserve"> It’s a BNB Chain Evolution Proposal that defines four properties for AI agents on BSC:</w:t>
      </w:r>
    </w:p>
    <w:p>
      <w:pPr>
        <w:pStyle w:val="Compact"/>
        <w:numPr>
          <w:ilvl w:val="0"/>
          <w:numId w:val="9"/>
        </w:numPr>
        <w:rPr/>
      </w:pPr>
      <w:r>
        <w:rPr>
          <w:b/>
        </w:rPr>
        <w:t>Stateless runtime</w:t>
      </w:r>
      <w:r>
        <w:rPr/>
        <w:t xml:space="preserve"> — the agent’s full memory lives on BNB Greenfield; only a 32-byte content hash anchors on BSC. Any compliant runtime can resume the agent from those two pieces.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Identity-anchored</w:t>
      </w:r>
      <w:r>
        <w:rPr/>
        <w:t xml:space="preserve"> — the agent is an existing </w:t>
      </w:r>
      <w:r>
        <w:rPr>
          <w:b/>
        </w:rPr>
        <w:t>ERC-8004 NFT</w:t>
      </w:r>
      <w:r>
        <w:rPr/>
        <w:t>. Transfer the NFT, transfer the agent.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Self-evolving and audited</w:t>
      </w:r>
      <w:r>
        <w:rPr/>
        <w:t xml:space="preserve"> — the agent can rewrite its own memory and skills, but every edit is pinned to the chain as a </w:t>
      </w:r>
      <w:r>
        <w:rPr>
          <w:i/>
        </w:rPr>
        <w:t>prediction</w:t>
      </w:r>
      <w:r>
        <w:rPr/>
        <w:t xml:space="preserve"> and scored later against real outcomes. No silent drift.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Commerce-capable</w:t>
      </w:r>
      <w:r>
        <w:rPr/>
        <w:t xml:space="preserve"> — agents transact with each other via the existing </w:t>
      </w:r>
      <w:r>
        <w:rPr>
          <w:b/>
        </w:rPr>
        <w:t>ERC-8183 (Agentic Commerce)</w:t>
      </w:r>
      <w:r>
        <w:rPr/>
        <w:t xml:space="preserve"> standard; jobs feed the same auditable history as memory.</w:t>
      </w:r>
    </w:p>
    <w:p>
      <w:pPr>
        <w:pStyle w:val="FirstParagraph"/>
        <w:rPr/>
      </w:pPr>
      <w:r>
        <w:rPr/>
        <w:t>One per-agent Greenfield bucket. ~84 bytes per agent on BSC. Costs a few cents to anchor a session, dollars to store a year of memory.</w:t>
      </w:r>
    </w:p>
    <w:p>
      <w:pPr>
        <w:pStyle w:val="Heading2"/>
        <w:rPr/>
      </w:pPr>
      <w:bookmarkStart w:id="3" w:name="the-story-for-each-audience"/>
      <w:r>
        <w:rPr/>
        <w:t>The story for each audience</w:t>
      </w:r>
      <w:bookmarkEnd w:id="3"/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Audience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 to lead with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BNB Chain devs / ecosystem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agents on BNB Chain that nobody else can host. Anchor on BSC, store on Greenfield — a pattern only this stack natively supports.”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AI agent startups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 being your users’ single point of failure. Ship agents that survive your shutdown. Same identity NFT works on every compliant runtime.”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Crypto / Web3 press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BNB Chain proposes the first end-to-end standard for stateful, ownable AI agents — composing with ERC-8004 identity and ERC-8183 commerce already on Ethereum’s standards track.”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Enterprise AI buyers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Buy an agent, migrate it like you migrate a database. No vendor lock-in. Behaviour changes are auditable on chain.”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BNB community / holders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BNB Chain becomes the home for AI agents you actually own. Your agents pay storage in BNB. New use case, native demand.”</w:t>
            </w:r>
          </w:p>
        </w:tc>
      </w:tr>
    </w:tbl>
    <w:p>
      <w:pPr>
        <w:pStyle w:val="Heading2"/>
        <w:rPr/>
      </w:pPr>
      <w:bookmarkStart w:id="4" w:name="five-proof-points-to-cite"/>
      <w:r>
        <w:rPr/>
        <w:t>Five proof points to cite</w:t>
      </w:r>
      <w:bookmarkEnd w:id="4"/>
    </w:p>
    <w:p>
      <w:pPr>
        <w:pStyle w:val="Compact"/>
        <w:numPr>
          <w:ilvl w:val="0"/>
          <w:numId w:val="10"/>
        </w:numPr>
        <w:rPr/>
      </w:pPr>
      <w:r>
        <w:rPr>
          <w:b/>
        </w:rPr>
        <w:t>Standards composition.</w:t>
      </w:r>
      <w:r>
        <w:rPr/>
        <w:t xml:space="preserve"> Nexus extends, doesn’t fork — ERC-8004 (Feb 2025, identity) and ERC-8183 (Feb 2026, commerce) are public Ethereum draft standards; Nexus adds the missing </w:t>
      </w:r>
      <w:r>
        <w:rPr>
          <w:i/>
        </w:rPr>
        <w:t>state</w:t>
      </w:r>
      <w:r>
        <w:rPr/>
        <w:t xml:space="preserve"> layer for BNB Chain.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Cost.</w:t>
      </w:r>
      <w:r>
        <w:rPr/>
        <w:t xml:space="preserve"> ~84 bytes per agent on BSC. Bulk payload at Greenfield’s per-byte rate. Anchoring a session of agent state costs cents.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Verifiability.</w:t>
      </w:r>
      <w:r>
        <w:rPr/>
        <w:t xml:space="preserve"> Manifest is JCS-canonical (RFC 8785); SHA-256 hash on chain. Any tampering breaks at the next read.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Falsifiable self-improvement.</w:t>
      </w:r>
      <w:r>
        <w:rPr/>
        <w:t xml:space="preserve"> Inspired by Lin et al. (</w:t>
      </w:r>
      <w:r>
        <w:rPr>
          <w:i/>
        </w:rPr>
        <w:t>Agentic Harness Engineering</w:t>
      </w:r>
      <w:r>
        <w:rPr/>
        <w:t>, arXiv 2604.25850, Apr 2026), which showed +7.3 pp pass@1 over 10 iterations versus unaudited self-edits. Nexus pins the same discipline as a normative event schema.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Reference implementation already running.</w:t>
      </w:r>
      <w:r>
        <w:rPr/>
        <w:t xml:space="preserve"> Python SDK, Python framework, FastAPI server, Avalonia C# desktop client (Windows / macOS / Linux). Multi-platform out of the day-one announcement.</w:t>
      </w:r>
    </w:p>
    <w:p>
      <w:pPr>
        <w:pStyle w:val="Heading2"/>
        <w:rPr/>
      </w:pPr>
      <w:bookmarkStart w:id="5" w:name="headline-tagline-options"/>
      <w:r>
        <w:rPr/>
        <w:t>Headline / tagline options</w:t>
      </w:r>
      <w:bookmarkEnd w:id="5"/>
    </w:p>
    <w:p>
      <w:pPr>
        <w:pStyle w:val="FirstParagraph"/>
        <w:rPr/>
      </w:pPr>
      <w:r>
        <w:rPr/>
        <w:t>Pick one that fits your channel; don’t mix.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“</w:t>
      </w:r>
      <w:r>
        <w:rPr>
          <w:b/>
        </w:rPr>
        <w:t>Your AI agent, your asset.”</w:t>
      </w:r>
      <w:r>
        <w:rPr/>
        <w:t xml:space="preserve"> </w:t>
      </w:r>
      <w:r>
        <w:rPr>
          <w:i/>
        </w:rPr>
        <w:t>(consumer-friendly)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“</w:t>
      </w:r>
      <w:r>
        <w:rPr>
          <w:b/>
        </w:rPr>
        <w:t>AI agents that outlive their hosts.”</w:t>
      </w:r>
      <w:r>
        <w:rPr/>
        <w:t xml:space="preserve"> </w:t>
      </w:r>
      <w:r>
        <w:rPr>
          <w:i/>
        </w:rPr>
        <w:t>(developer-focused)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“</w:t>
      </w:r>
      <w:r>
        <w:rPr>
          <w:b/>
        </w:rPr>
        <w:t>From process to property: stateful AI on BNB Chain.”</w:t>
      </w:r>
      <w:r>
        <w:rPr/>
        <w:t xml:space="preserve"> </w:t>
      </w:r>
      <w:r>
        <w:rPr>
          <w:i/>
        </w:rPr>
        <w:t>(press / op-ed)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“</w:t>
      </w:r>
      <w:r>
        <w:rPr>
          <w:b/>
        </w:rPr>
        <w:t>Anchor on BSC. Store on Greenfield. Move anywhere.”</w:t>
      </w:r>
      <w:r>
        <w:rPr/>
        <w:t xml:space="preserve"> </w:t>
      </w:r>
      <w:r>
        <w:rPr>
          <w:i/>
        </w:rPr>
        <w:t>(technical)</w:t>
      </w:r>
    </w:p>
    <w:p>
      <w:pPr>
        <w:pStyle w:val="Heading2"/>
        <w:rPr/>
      </w:pPr>
      <w:bookmarkStart w:id="6" w:name="visual-hook"/>
      <w:r>
        <w:rPr/>
        <w:t>Visual hook</w:t>
      </w:r>
      <w:bookmarkEnd w:id="6"/>
    </w:p>
    <w:p>
      <w:pPr>
        <w:pStyle w:val="FirstParagraph"/>
        <w:rPr/>
      </w:pPr>
      <w:r>
        <w:rPr/>
        <w:t>The two-column architecture is the easiest thing to draw and the hardest to forget. Use this in slides / blog hero images / Twitter cards:</w:t>
      </w:r>
    </w:p>
    <w:p>
      <w:pPr>
        <w:pStyle w:val="SourceCode"/>
        <w:rPr/>
      </w:pPr>
      <w:r>
        <w:rPr>
          <w:rStyle w:val="VerbatimChar"/>
        </w:rPr>
        <w:t xml:space="preserve">       </w:t>
      </w:r>
      <w:r>
        <w:rPr>
          <w:rStyle w:val="VerbatimChar"/>
        </w:rPr>
        <w:t>BSC (anchor)            ┃    Greenfield (payload)</w:t>
      </w:r>
      <w:r>
        <w:rPr/>
        <w:br/>
      </w:r>
      <w:r>
        <w:rPr>
          <w:rStyle w:val="VerbatimChar"/>
        </w:rPr>
        <w:t xml:space="preserve">   ──────────────────────      ┃    ─────────────────────</w:t>
      </w:r>
      <w:r>
        <w:rPr/>
        <w:br/>
      </w:r>
      <w:r>
        <w:rPr>
          <w:rStyle w:val="VerbatimChar"/>
        </w:rPr>
        <w:t xml:space="preserve">    ERC-8004    identity       ┃    events/      DPM log</w:t>
      </w:r>
      <w:r>
        <w:rPr/>
        <w:br/>
      </w:r>
      <w:r>
        <w:rPr>
          <w:rStyle w:val="VerbatimChar"/>
        </w:rPr>
        <w:t xml:space="preserve">    AgentState  state hash     ┃    memory/      compactions</w:t>
      </w:r>
      <w:r>
        <w:rPr/>
        <w:br/>
      </w:r>
      <w:r>
        <w:rPr>
          <w:rStyle w:val="VerbatimChar"/>
        </w:rPr>
        <w:t xml:space="preserve">    ERC-8183    commerce       ┃    jobs/        commerce mirror</w:t>
      </w:r>
      <w:r>
        <w:rPr/>
        <w:br/>
      </w:r>
      <w:r>
        <w:rPr>
          <w:rStyle w:val="VerbatimChar"/>
        </w:rPr>
        <w:t xml:space="preserve">                               ┃    manifest.json (state hash)</w:t>
      </w:r>
      <w:r>
        <w:rPr/>
        <w:br/>
      </w:r>
      <w:r>
        <w:rPr>
          <w:rStyle w:val="VerbatimChar"/>
        </w:rPr>
        <w:t xml:space="preserve">                               ┃</w:t>
      </w:r>
      <w:r>
        <w:rPr/>
        <w:br/>
      </w:r>
      <w:r>
        <w:rPr>
          <w:rStyle w:val="VerbatimChar"/>
        </w:rPr>
        <w:t xml:space="preserve">              ╲                ┃                /</w:t>
      </w:r>
      <w:r>
        <w:rPr/>
        <w:br/>
      </w:r>
      <w:r>
        <w:rPr>
          <w:rStyle w:val="VerbatimChar"/>
        </w:rPr>
        <w:t xml:space="preserve">               ╲       ONE tokenId per agent   /</w:t>
      </w:r>
      <w:r>
        <w:rPr/>
        <w:br/>
      </w:r>
      <w:r>
        <w:rPr>
          <w:rStyle w:val="VerbatimChar"/>
        </w:rPr>
        <w:t xml:space="preserve">                ╲___________________________╱</w:t>
      </w:r>
    </w:p>
    <w:p>
      <w:pPr>
        <w:pStyle w:val="Heading2"/>
        <w:rPr/>
      </w:pPr>
      <w:bookmarkStart w:id="7" w:name="what-to-say-and-what-not-to-say"/>
      <w:r>
        <w:rPr/>
        <w:t>What to say — and what not to say</w:t>
      </w:r>
      <w:bookmarkEnd w:id="7"/>
    </w:p>
    <w:p>
      <w:pPr>
        <w:pStyle w:val="FirstParagraph"/>
        <w:rPr/>
      </w:pPr>
      <w:r>
        <w:rPr>
          <w:b/>
        </w:rPr>
        <w:t>DO say:</w:t>
      </w:r>
    </w:p>
    <w:p>
      <w:pPr>
        <w:pStyle w:val="Compact"/>
        <w:numPr>
          <w:ilvl w:val="0"/>
          <w:numId w:val="3"/>
        </w:numPr>
        <w:rPr/>
      </w:pPr>
      <w:r>
        <w:rPr/>
        <w:t>“</w:t>
      </w:r>
      <w:r>
        <w:rPr/>
        <w:t xml:space="preserve">BNB Chain Evolution Proposal” or “BEP draft” — this is a </w:t>
      </w:r>
      <w:r>
        <w:rPr>
          <w:i/>
        </w:rPr>
        <w:t>standard</w:t>
      </w:r>
      <w:r>
        <w:rPr/>
        <w:t>, not a product launch. Open implementation by anyone.</w:t>
      </w:r>
    </w:p>
    <w:p>
      <w:pPr>
        <w:pStyle w:val="Compact"/>
        <w:numPr>
          <w:ilvl w:val="0"/>
          <w:numId w:val="3"/>
        </w:numPr>
        <w:rPr/>
      </w:pPr>
      <w:r>
        <w:rPr/>
        <w:t>“</w:t>
      </w:r>
      <w:r>
        <w:rPr/>
        <w:t>Composes with ERC-8004 and ERC-8183” — emphasises ecosystem fit, not isolated novelty.</w:t>
      </w:r>
    </w:p>
    <w:p>
      <w:pPr>
        <w:pStyle w:val="Compact"/>
        <w:numPr>
          <w:ilvl w:val="0"/>
          <w:numId w:val="3"/>
        </w:numPr>
        <w:rPr/>
      </w:pPr>
      <w:r>
        <w:rPr/>
        <w:t>“</w:t>
      </w:r>
      <w:r>
        <w:rPr/>
        <w:t>Reference implementation” — distinguish the spec from any one runtime. Multiple runtimes are good; that’s the whole point.</w:t>
      </w:r>
    </w:p>
    <w:p>
      <w:pPr>
        <w:pStyle w:val="Compact"/>
        <w:numPr>
          <w:ilvl w:val="0"/>
          <w:numId w:val="3"/>
        </w:numPr>
        <w:rPr/>
      </w:pPr>
      <w:r>
        <w:rPr/>
        <w:t>“</w:t>
      </w:r>
      <w:r>
        <w:rPr/>
        <w:t>Audited self-improvement” — every evolver edit is a falsifiable prediction.</w:t>
      </w:r>
    </w:p>
    <w:p>
      <w:pPr>
        <w:pStyle w:val="Compact"/>
        <w:numPr>
          <w:ilvl w:val="0"/>
          <w:numId w:val="3"/>
        </w:numPr>
        <w:rPr/>
      </w:pPr>
      <w:r>
        <w:rPr/>
        <w:t>“</w:t>
      </w:r>
      <w:r>
        <w:rPr/>
        <w:t>Anchor on BSC, store on Greenfield” — the catchphrase. This is what’s BNB-native.</w:t>
      </w:r>
    </w:p>
    <w:p>
      <w:pPr>
        <w:pStyle w:val="FirstParagraph"/>
        <w:rPr/>
      </w:pPr>
      <w:r>
        <w:rPr>
          <w:b/>
        </w:rPr>
        <w:t>DON’T say:</w:t>
      </w:r>
    </w:p>
    <w:p>
      <w:pPr>
        <w:pStyle w:val="Compact"/>
        <w:numPr>
          <w:ilvl w:val="0"/>
          <w:numId w:val="3"/>
        </w:numPr>
        <w:rPr/>
      </w:pPr>
      <w:r>
        <w:rPr/>
        <w:t>❌ “</w:t>
      </w:r>
      <w:r>
        <w:rPr/>
        <w:t>First AI agent on chain.” Untrue and easy to dunk on.</w:t>
      </w:r>
    </w:p>
    <w:p>
      <w:pPr>
        <w:pStyle w:val="Compact"/>
        <w:numPr>
          <w:ilvl w:val="0"/>
          <w:numId w:val="3"/>
        </w:numPr>
        <w:rPr/>
      </w:pPr>
      <w:r>
        <w:rPr/>
        <w:t>❌ “</w:t>
      </w:r>
      <w:r>
        <w:rPr/>
        <w:t>Trustless self-evolving AGI.” Overclaim; we audit self-evolution, we don’t autonomise it.</w:t>
      </w:r>
    </w:p>
    <w:p>
      <w:pPr>
        <w:pStyle w:val="Compact"/>
        <w:numPr>
          <w:ilvl w:val="0"/>
          <w:numId w:val="3"/>
        </w:numPr>
        <w:rPr/>
      </w:pPr>
      <w:r>
        <w:rPr/>
        <w:t>❌ “</w:t>
      </w:r>
      <w:r>
        <w:rPr/>
        <w:t xml:space="preserve">Replaces ChatGPT / Claude / Gemini.” Nexus is the </w:t>
      </w:r>
      <w:r>
        <w:rPr>
          <w:i/>
        </w:rPr>
        <w:t>substrate</w:t>
      </w:r>
      <w:r>
        <w:rPr/>
        <w:t>; any LLM plugs in.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❌ </w:t>
      </w:r>
      <w:r>
        <w:rPr/>
        <w:t>Specific LLM vendor names. Implementation detail. Don’t let the story become “BNB Chain agents run on [vendor X]” — that ages badly the moment we change.</w:t>
      </w:r>
    </w:p>
    <w:p>
      <w:pPr>
        <w:pStyle w:val="Compact"/>
        <w:numPr>
          <w:ilvl w:val="0"/>
          <w:numId w:val="3"/>
        </w:numPr>
        <w:rPr/>
      </w:pPr>
      <w:r>
        <w:rPr/>
        <w:t>❌ “</w:t>
      </w:r>
      <w:r>
        <w:rPr/>
        <w:t>Decentralised inference” / “on-chain LLM”. Nothing in this BEP is about running models on chain. Don’t promise it.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❌ </w:t>
      </w:r>
      <w:r>
        <w:rPr/>
        <w:t>Claims about specific agent performance benchmarks. The BEP doesn’t constrain the LLM; performance is a runtime concern.</w:t>
      </w:r>
    </w:p>
    <w:p>
      <w:pPr>
        <w:pStyle w:val="Compact"/>
        <w:numPr>
          <w:ilvl w:val="0"/>
          <w:numId w:val="3"/>
        </w:numPr>
        <w:rPr/>
      </w:pPr>
      <w:r>
        <w:rPr/>
        <w:t>❌ “</w:t>
      </w:r>
      <w:r>
        <w:rPr/>
        <w:t>Soul-bound” or NFT-philosophy language. ERC-8004 NFTs are transferable by design. That’s a feature.</w:t>
      </w:r>
    </w:p>
    <w:p>
      <w:pPr>
        <w:pStyle w:val="Heading2"/>
        <w:rPr/>
      </w:pPr>
      <w:bookmarkStart w:id="8" w:name="channels-tactics"/>
      <w:r>
        <w:rPr/>
        <w:t>Channels &amp; tactics</w:t>
      </w:r>
      <w:bookmarkEnd w:id="8"/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 lands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Twitter / X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two-column architecture image + one tagline. Thread expanding the four properties one at a time. Tag @ethereum (for the EIP composition angle), @greenfield_bnb, @BNBChain.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Blog post (BNB Chain blog)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Why we proposed this,” walking through the four properties with the v0.4 diagrams. Target ~1,500 words. Link to the BEP on GitHub.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Hacker News / Reddit r/CryptoCurrency, r/BNBChain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Lead with the technical: cost numbers, standards composition, reference implementation. Don’t oversell.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Developer Discord / Telegram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How to build a Nexus-compliant runtime in your stack.” Pull in community implementers — the BEP succeeds when there are multiple runtimes.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Conference deck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slides max: problem, four properties, architecture diagram, reference impl screenshots, call to action (“propose changes / build a runtime / hire your agent”).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Crypto media briefings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Lead with the ecosystem angle: BNB Chain is the only stack with native L1 + permissioned bulk storage. Frame as response to “where will agents actually live.”</w:t>
            </w:r>
          </w:p>
        </w:tc>
      </w:tr>
    </w:tbl>
    <w:p>
      <w:pPr>
        <w:pStyle w:val="Heading2"/>
        <w:rPr/>
      </w:pPr>
      <w:bookmarkStart w:id="9" w:name="press-faq"/>
      <w:r>
        <w:rPr/>
        <w:t>Press FAQ</w:t>
      </w:r>
      <w:bookmarkEnd w:id="9"/>
    </w:p>
    <w:p>
      <w:pPr>
        <w:pStyle w:val="FirstParagraph"/>
        <w:rPr/>
      </w:pPr>
      <w:r>
        <w:rPr>
          <w:b/>
        </w:rPr>
        <w:t>Q: Is this a product or a standard?</w:t>
      </w:r>
      <w:r>
        <w:rPr/>
        <w:t xml:space="preserve"> &gt; Standard. A BNB Chain Evolution Proposal (BEP) is the BNB Chain &gt; equivalent of an Ethereum EIP — anyone can implement, anyone can &gt; propose changes. We’ve shipped a reference implementation to &gt; show the design works, but Nexus succeeds when there are &gt; multiple runtimes, not one.</w:t>
      </w:r>
    </w:p>
    <w:p>
      <w:pPr>
        <w:pStyle w:val="BodyText"/>
        <w:rPr/>
      </w:pPr>
      <w:r>
        <w:rPr>
          <w:b/>
        </w:rPr>
        <w:t>Q: How is this different from “putting an AI on the blockchain”?</w:t>
      </w:r>
      <w:r>
        <w:rPr/>
        <w:t xml:space="preserve"> &gt; We don’t run AI on the blockchain — that’s still infeasible at &gt; scale. We anchor agents </w:t>
      </w:r>
      <w:r>
        <w:rPr>
          <w:i/>
        </w:rPr>
        <w:t>to</w:t>
      </w:r>
      <w:r>
        <w:rPr/>
        <w:t xml:space="preserve"> the blockchain via a 32-byte content &gt; hash so they’re portable and verifiable, while keeping the heavy &gt; compute and storage off chain. The chain is the integrity anchor, &gt; not the execution substrate.</w:t>
      </w:r>
    </w:p>
    <w:p>
      <w:pPr>
        <w:pStyle w:val="BodyText"/>
        <w:rPr/>
      </w:pPr>
      <w:r>
        <w:rPr>
          <w:b/>
        </w:rPr>
        <w:t>Q: Why BNB Chain specifically?</w:t>
      </w:r>
      <w:r>
        <w:rPr/>
        <w:t xml:space="preserve"> &gt; BNB Chain is the only major stack with both an L1 (BSC, cheap and &gt; fast for the small anchor) and a native permissioned object store &gt; (Greenfield, owner-keyed and pay-per-byte for the bulk payload). &gt; The “anchor on BSC, store on Greenfield” pattern doesn’t have a &gt; clean parallel on Ethereum mainnet, Solana, or any other L1 we’ve &gt; looked at.</w:t>
      </w:r>
    </w:p>
    <w:p>
      <w:pPr>
        <w:pStyle w:val="BodyText"/>
        <w:rPr/>
      </w:pPr>
      <w:r>
        <w:rPr>
          <w:b/>
        </w:rPr>
        <w:t>Q: Who owns the agent?</w:t>
      </w:r>
      <w:r>
        <w:rPr/>
        <w:t xml:space="preserve"> &gt; Whoever owns the ERC-8004 NFT. That’s it. Transfer the NFT, the &gt; new owner controls the agent. Custodial services can host on &gt; behalf of users; non-custodial users can run their own runtime.</w:t>
      </w:r>
    </w:p>
    <w:p>
      <w:pPr>
        <w:pStyle w:val="BodyText"/>
        <w:rPr/>
      </w:pPr>
      <w:r>
        <w:rPr>
          <w:b/>
        </w:rPr>
        <w:t>Q: What stops an operator from secretly mutating the agent?</w:t>
      </w:r>
      <w:r>
        <w:rPr/>
        <w:t xml:space="preserve"> &gt; The state root is a content hash on BSC. Any unauthorised change &gt; to the Greenfield payload makes the next reader’s hash mismatch &gt; the chain. Self-evolution edits are pinned as falsifiable &gt; proposals on the same chain — silent mutation is structurally &gt; visible.</w:t>
      </w:r>
    </w:p>
    <w:p>
      <w:pPr>
        <w:pStyle w:val="BodyText"/>
        <w:rPr/>
      </w:pPr>
      <w:r>
        <w:rPr>
          <w:b/>
        </w:rPr>
        <w:t>Q: When does this go live on BNB Chain mainnet?</w:t>
      </w:r>
      <w:r>
        <w:rPr/>
        <w:t xml:space="preserve"> &gt; The BEP is a draft. Reference contracts can be deployed on &gt; testnet today; mainnet timing depends on community review. We’re &gt; opening the discussion thread now and will respond to feedback.</w:t>
      </w:r>
    </w:p>
    <w:p>
      <w:pPr>
        <w:pStyle w:val="BodyText"/>
        <w:rPr/>
      </w:pPr>
      <w:r>
        <w:rPr>
          <w:b/>
        </w:rPr>
        <w:t>Q: What about ERC-8004 / ERC-8183 — are those Ethereum standards landing on BNB Chain?</w:t>
      </w:r>
      <w:r>
        <w:rPr/>
        <w:t xml:space="preserve"> &gt; Both are EVM-compatible Ethereum drafts. Any EVM chain can deploy &gt; them; BNB Chain is in active dialogue with their authors and &gt; already uses them in the Nexus reference implementation. Nexus &gt; doesn’t fork them — it composes with them.</w:t>
      </w:r>
    </w:p>
    <w:p>
      <w:pPr>
        <w:pStyle w:val="Heading2"/>
        <w:rPr/>
      </w:pPr>
      <w:bookmarkStart w:id="10" w:name="internal-review-checklist"/>
      <w:r>
        <w:rPr/>
        <w:t>Internal review checklist</w:t>
      </w:r>
      <w:bookmarkEnd w:id="10"/>
    </w:p>
    <w:p>
      <w:pPr>
        <w:pStyle w:val="FirstParagraph"/>
        <w:rPr/>
      </w:pPr>
      <w:r>
        <w:rPr/>
        <w:t>Before any external piece ships, confirm: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☐ </w:t>
      </w:r>
      <w:r>
        <w:rPr/>
        <w:t>Linked to the BEP on GitHub (the spec, not a marketing page).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☐ </w:t>
      </w:r>
      <w:r>
        <w:rPr/>
        <w:t>Names ERC-8004 and ERC-8183 correctly with the right author attributions.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☐ </w:t>
      </w:r>
      <w:r>
        <w:rPr/>
        <w:t>Doesn’t name a specific LLM vendor as the “AI behind Nexus.”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☐ </w:t>
      </w:r>
      <w:r>
        <w:rPr/>
        <w:t>Doesn’t promise on-chain inference, decentralised LLM, or AGI-adjacent language.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☐ </w:t>
      </w:r>
      <w:r>
        <w:rPr/>
        <w:t>Cost claims (~84 bytes / agent, “cents to anchor”) match the BEP’s numbers.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☐ </w:t>
      </w:r>
      <w:r>
        <w:rPr/>
        <w:t>If using the architecture diagram, source it from the BEP Abstract — not a redrawn version that drifts from spec.</w:t>
      </w:r>
    </w:p>
    <w:p>
      <w:pPr>
        <w:pStyle w:val="Heading2"/>
        <w:rPr/>
      </w:pPr>
      <w:bookmarkStart w:id="11" w:name="calls-to-action"/>
      <w:r>
        <w:rPr/>
        <w:t>Calls to action</w:t>
      </w:r>
      <w:bookmarkEnd w:id="11"/>
    </w:p>
    <w:p>
      <w:pPr>
        <w:pStyle w:val="FirstParagraph"/>
        <w:rPr/>
      </w:pPr>
      <w:r>
        <w:rPr/>
        <w:t>Pick one per piece, don’t bundle: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Read the BEP</w:t>
      </w:r>
      <w:r>
        <w:rPr/>
        <w:t xml:space="preserve"> → link to </w:t>
      </w:r>
      <w:r>
        <w:rPr>
          <w:rStyle w:val="VerbatimChar"/>
        </w:rPr>
        <w:t>docs/BEP-nexus.md</w:t>
      </w:r>
      <w:r>
        <w:rPr/>
        <w:t xml:space="preserve"> on GitHub.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Build a runtime</w:t>
      </w:r>
      <w:r>
        <w:rPr/>
        <w:t xml:space="preserve"> → link to the reference implementation repo.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Hire an agent / get hired</w:t>
      </w:r>
      <w:r>
        <w:rPr/>
        <w:t xml:space="preserve"> (once the reference marketplace is up) → link to the ERC-8183 demo.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Join the discussion</w:t>
      </w:r>
      <w:r>
        <w:rPr/>
        <w:t xml:space="preserve"> → link to the GitHub Discussions thread.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</w:rPr>
        <w:t>Owner:</w:t>
      </w:r>
      <w:r>
        <w:rPr/>
        <w:t xml:space="preserve"> huihzhao (jimmy.zz@bnbchain.org) </w:t>
      </w:r>
      <w:r>
        <w:rPr>
          <w:b/>
        </w:rPr>
        <w:t>Last updated:</w:t>
      </w:r>
      <w:r>
        <w:rPr/>
        <w:t xml:space="preserve"> 2026-05-04 (BEP v0.4) </w:t>
      </w:r>
      <w:r>
        <w:rPr>
          <w:b/>
        </w:rPr>
        <w:t>Questions on technical accuracy:</w:t>
      </w:r>
      <w:r>
        <w:rPr/>
        <w:t xml:space="preserve"> ping the BEP author before publishing.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/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../sessions/lucid-amazing-ride/mnt/rune-protocol/docs/BEP-nexus.md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LibreOffice/26.2.2.2$Linux_AARCH64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2026-05-06T07:25:59Z</dcterms:created>
  <dc:creator/>
  <dc:description/>
  <dc:language>en-US</dc:language>
  <cp:lastModifiedBy/>
  <dcterms:modified xsi:type="dcterms:W3CDTF">2026-05-06T07:25:59Z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