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F5A6B"/>
          <w:sz w:val="52"/>
          <w:szCs w:val="52"/>
        </w:rPr>
        <w:t xml:space="preserve">Nexus 写作与润色（Writing Studio）</w:t>
      </w:r>
    </w:p>
    <w:p>
      <w:pPr>
        <w:spacing w:after="120"/>
        <w:jc w:val="center"/>
      </w:pPr>
      <w:r>
        <w:rPr>
          <w:color w:val="1795AE"/>
          <w:sz w:val="30"/>
          <w:szCs w:val="30"/>
        </w:rPr>
        <w:t xml:space="preserve">功能设计文档 — 含界面 Mock</w:t>
      </w:r>
    </w:p>
    <w:p>
      <w:pPr>
        <w:spacing w:after="2000"/>
        <w:jc w:val="center"/>
      </w:pPr>
      <w:r>
        <w:rPr>
          <w:color w:val="666666"/>
          <w:sz w:val="21"/>
          <w:szCs w:val="21"/>
        </w:rPr>
        <w:t xml:space="preserve">版本 v0.1 · 2026-07-11 · 状态：评审稿</w:t>
      </w:r>
    </w:p>
    <w:p>
      <w:pPr>
        <w:jc w:val="center"/>
      </w:pPr>
      <w:r>
        <w:rPr>
          <w:color w:val="666666"/>
          <w:sz w:val="19"/>
          <w:szCs w:val="19"/>
        </w:rPr>
        <w:t xml:space="preserve">适用范围：packages/desktop-v2（前端） + packages/server（API）</w:t>
      </w:r>
    </w:p>
    <w:p>
      <w:r>
        <w:br w:type="page"/>
      </w:r>
    </w:p>
    <w:p>
      <w:pPr>
        <w:pStyle w:val="Heading1"/>
        <w:spacing w:after="160" w:before="360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背景与目标</w:t>
      </w:r>
    </w:p>
    <w:p>
      <w:pPr>
        <w:spacing w:after="120" w:line="320"/>
      </w:pPr>
      <w:r>
        <w:rPr>
          <w:sz w:val="21"/>
          <w:szCs w:val="21"/>
        </w:rPr>
        <w:t xml:space="preserve">医生用户最高频的写作场景：病例报告、研究中期摘要、伦理委员会材料、随访信函。现状是在外部编辑器写作，把患者数据手工复制进去、再把文字粘到通用 AI 工具润色，存在三个问题：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数据割裂 — 患者时间线、研究 roster 都在 Nexus 里，写作却要手工搬运，易错且慢；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隐私风险 — 患者身份信息（PHI）被原样粘进外部工具，违反合规要求；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润色不可控 — 通用工具整段重写，医生难以逐处审阅，且模型会编造数值。</w:t>
      </w:r>
    </w:p>
    <w:p>
      <w:pPr>
        <w:spacing w:after="120" w:line="320"/>
      </w:pPr>
      <w:r>
        <w:rPr>
          <w:sz w:val="21"/>
          <w:szCs w:val="21"/>
        </w:rPr>
        <w:t xml:space="preserve">本设计引入应用内「写作」模式：就地润色（diff 逐处接受/拒绝）、@ 引用患者/研究/文献（结构化 chip + 自动脱敏）、导出前 PHI 核查门，并接入 Twin 记忆系统学习个人写作风格。</w:t>
      </w:r>
    </w:p>
    <w:p>
      <w:pPr>
        <w:spacing w:after="120" w:line="320"/>
      </w:pPr>
      <w:r>
        <w:rPr>
          <w:b/>
          <w:bCs/>
          <w:sz w:val="21"/>
          <w:szCs w:val="21"/>
        </w:rPr>
        <w:t xml:space="preserve">非目标：</w:t>
      </w:r>
      <w:r>
        <w:rPr>
          <w:sz w:val="21"/>
          <w:szCs w:val="21"/>
        </w:rPr>
        <w:t xml:space="preserve">不做多人协同编辑；不做通用富文本排版（表格/图片布局交给导出后的 Word）；不替代研究报告导出（report_pdf）既有链路。</w:t>
      </w:r>
    </w:p>
    <w:p>
      <w:pPr>
        <w:pStyle w:val="Heading1"/>
        <w:spacing w:after="160" w:before="360"/>
      </w:pPr>
      <w:r>
        <w:t xml:space="preserve">2. 用户画像与核心场景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400"/>
      </w:tblGrid>
      <w:tr>
        <w:tc>
          <w:tcPr>
            <w:tcW w:type="dxa" w:w="22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42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用户动作</w:t>
            </w:r>
          </w:p>
        </w:tc>
        <w:tc>
          <w:tcPr>
            <w:tcW w:type="dxa" w:w="34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系统价值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写病例报告投稿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引用 P-007 基线特征与治疗时间线，润色为学术语气，导出脱敏 docx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数据零搬运、引用可溯源、PHI 双重核查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研究中期摘要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引用 NSCLC-PD1 roster 快照与 KPI，英文润色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roster 数据实时、数值有出处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伦理/监管回函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引用 AE 记录，语法修正 + 更正式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审计日志自动记录数据使用</w:t>
            </w:r>
          </w:p>
        </w:tc>
      </w:tr>
    </w:tbl>
    <w:p>
      <w:pPr>
        <w:pStyle w:val="Heading1"/>
        <w:spacing w:after="160" w:before="360"/>
      </w:pPr>
      <w:r>
        <w:t xml:space="preserve">3. 总体设计</w:t>
      </w:r>
    </w:p>
    <w:p>
      <w:pPr>
        <w:spacing w:after="120" w:line="320"/>
      </w:pPr>
      <w:r>
        <w:rPr>
          <w:sz w:val="21"/>
          <w:szCs w:val="21"/>
        </w:rPr>
        <w:t xml:space="preserve">新增顶层「写作」模式（与 Today / 患者 / Research 并列）。核心对象是「文档」：正文（Markdown 子集）+ 引用 chip 列表 + 版本快照链 + 润色历史。所有数据按 user_id 隔离，落 server SQLite（docs、doc_references、doc_snapshots 三张表），复用既有认证与审计体系。</w:t>
      </w:r>
    </w:p>
    <w:p>
      <w:pPr>
        <w:spacing w:after="120" w:line="320"/>
      </w:pPr>
      <w:r>
        <w:rPr>
          <w:sz w:val="21"/>
          <w:szCs w:val="21"/>
        </w:rPr>
        <w:t xml:space="preserve">与现有系统的集成点：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引用数据源：患者 → memory v3 projection API（findings / medications / timeline）；研究 → research roster / KPI；文件 → 文件库 distill 摘要；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溯源：chip 保存 event log 节点 id，悬停经 /api/v1/memory/citation/{node_id} 预览（复用 CitationChip）；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风格学习：写入 Twin Persona，经 evolution proposal → VerdictRunner 闭环，可回滚；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模型：润色默认走独立的「快速模型」配置（如 kimi-k2.7-code-highspeed），与聊天主模型解耦。</w:t>
      </w:r>
    </w:p>
    <w:p>
      <w:pPr>
        <w:pStyle w:val="Heading1"/>
        <w:spacing w:after="160" w:before="360"/>
      </w:pPr>
      <w:r>
        <w:t xml:space="preserve">4. 核心用户流程与界面</w:t>
      </w:r>
    </w:p>
    <w:p>
      <w:pPr>
        <w:pStyle w:val="Heading2"/>
        <w:spacing w:after="120" w:before="280"/>
      </w:pPr>
      <w:r>
        <w:t xml:space="preserve">4.1 写作面板（总览）</w:t>
      </w:r>
    </w:p>
    <w:p>
      <w:pPr>
        <w:spacing w:after="120" w:line="320"/>
      </w:pPr>
      <w:r>
        <w:rPr>
          <w:sz w:val="21"/>
          <w:szCs w:val="21"/>
        </w:rPr>
        <w:t xml:space="preserve">三栏布局：左侧文档列表；中部编辑器 — 正文中的引用以 chip 呈现，选中文字浮出润色工具条（⌘K 唤起）；右侧「引用与来源」面板集中显示每枚 chip 的脱敏状态、来源节点数与数据新鲜度（引用后源数据发生变化时黄色提示复核）。底部状态栏显示字数、自动保存时间、版本快照数与当前润色模型。</w:t>
      </w:r>
    </w:p>
    <w:p>
      <w:pPr>
        <w:spacing w:before="120"/>
        <w:jc w:val="center"/>
      </w:pPr>
      <w:r>
        <w:drawing>
          <wp:inline distT="0" distB="0" distL="0" distR="0">
            <wp:extent cx="5905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66666"/>
          <w:sz w:val="18"/>
          <w:szCs w:val="18"/>
        </w:rPr>
        <w:t xml:space="preserve">图 1 · 写作面板总览：引用 chip、选中润色工具条、右侧引用与来源面板</w:t>
      </w:r>
    </w:p>
    <w:p>
      <w:pPr>
        <w:pStyle w:val="Heading2"/>
        <w:spacing w:after="120" w:before="280"/>
      </w:pPr>
      <w:r>
        <w:t xml:space="preserve">4.2 @ 引用：患者 / 研究 / 文献</w:t>
      </w:r>
    </w:p>
    <w:p>
      <w:pPr>
        <w:spacing w:after="120" w:line="320"/>
      </w:pPr>
      <w:r>
        <w:rPr>
          <w:sz w:val="21"/>
          <w:szCs w:val="21"/>
        </w:rPr>
        <w:t xml:space="preserve">编辑器内输入 @ 唤起统一引用选择器，流程如下：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选择类别（患者 / 研究 / 文件文献）并搜索定位目标；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选择插入粒度 — 基本特征 / 治疗时间线 / 关键发现 / 最近影像结论，避免整库倾倒；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系统自动脱敏（姓名→研究编号、生日→年龄、日期偏移 ±7 天），右侧实时预览脱敏后内容；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1"/>
          <w:szCs w:val="21"/>
        </w:rPr>
        <w:t xml:space="preserve">确认插入 — 正文出现一枚 chip，同时写入一条审计事件（谁、何时、在哪个文档引用了哪个患者的哪类数据）。</w:t>
      </w:r>
    </w:p>
    <w:p>
      <w:pPr>
        <w:spacing w:after="120" w:line="320"/>
      </w:pPr>
      <w:r>
        <w:rPr>
          <w:sz w:val="21"/>
          <w:szCs w:val="21"/>
        </w:rPr>
        <w:t xml:space="preserve">chip 在写作与润色时作为上下文注入模型（模型基于真实数据改写，杜绝编造）；正文中保持一枚整洁的芯片；导出时才展开为文本。</w:t>
      </w:r>
    </w:p>
    <w:p>
      <w:pPr>
        <w:spacing w:after="120" w:line="320"/>
      </w:pPr>
      <w:r>
        <w:rPr>
          <w:b/>
          <w:bCs/>
          <w:sz w:val="21"/>
          <w:szCs w:val="21"/>
        </w:rPr>
        <w:t xml:space="preserve">研究类引用的粒度（写中期摘要/进展报告的核心）：</w:t>
      </w:r>
      <w:r>
        <w:rPr>
          <w:sz w:val="21"/>
          <w:szCs w:val="21"/>
        </w:rPr>
        <w:t xml:space="preserve">① 研究进展 — 入组进度、里程碑达成、KPI 时间序列（"42/60 例，较上月 +5"）；② 队列基线汇总（Table 1）— 聚合统计天然低 PHI 风险，可直接展开为表格；③ 安全事件汇总 — 按 CTCAE 分级聚合；④ 研究内患者 — 输入 @NSCLC-PD1/ 出现课题内 roster 二级列表，选中后即患者 chip 但携带研究上下文（以筛查编号呈现、审计同时记录 study_id），写"本队列中一例典型…"时用此路径。</w:t>
      </w:r>
    </w:p>
    <w:p>
      <w:pPr>
        <w:spacing w:before="120"/>
        <w:jc w:val="center"/>
      </w:pPr>
      <w:r>
        <w:drawing>
          <wp:inline distT="0" distB="0" distL="0" distR="0">
            <wp:extent cx="5905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66666"/>
          <w:sz w:val="18"/>
          <w:szCs w:val="18"/>
        </w:rPr>
        <w:t xml:space="preserve">图 2 · @ 引用选择器：类别 Tab、粒度选择、脱敏预览与审计提示</w:t>
      </w:r>
    </w:p>
    <w:p>
      <w:pPr>
        <w:pStyle w:val="Heading2"/>
        <w:spacing w:after="120" w:before="280"/>
      </w:pPr>
      <w:r>
        <w:t xml:space="preserve">4.3 选中润色：diff 逐处接受 / 拒绝</w:t>
      </w:r>
    </w:p>
    <w:p>
      <w:pPr>
        <w:spacing w:after="120" w:line="320"/>
      </w:pPr>
      <w:r>
        <w:rPr>
          <w:sz w:val="21"/>
          <w:szCs w:val="21"/>
        </w:rPr>
        <w:t xml:space="preserve">选中文字 → 工具条选择预设指令（更简洁 / 更学术 / 语法修正 / 译为英文）或输入自定义指令。结果不直接替换原文，而是以词级 diff 呈现：删除划线、新增高亮，每处修改独立 ✓/✗。要点：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幻觉数值防护：diff 中新增的数字若无引用来源，黄色警示并提供三个出口 — 添加文献引用 / 改为定性表述 / 显式保留；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已接受的改动可在「润色历史」一键回退（版本快照）；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风格学习：连续拒绝同类改写（如被动语态）时，询问是否加入个人风格档案，档案作为 evolution proposal 进入 Verdict 闭环。</w:t>
      </w:r>
    </w:p>
    <w:p>
      <w:pPr>
        <w:spacing w:before="120"/>
        <w:jc w:val="center"/>
      </w:pPr>
      <w:r>
        <w:drawing>
          <wp:inline distT="0" distB="0" distL="0" distR="0">
            <wp:extent cx="59055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66666"/>
          <w:sz w:val="18"/>
          <w:szCs w:val="18"/>
        </w:rPr>
        <w:t xml:space="preserve">图 3 · 润色 diff 视图：逐处接受/拒绝、无来源数值警示、风格学习提示</w:t>
      </w:r>
    </w:p>
    <w:p>
      <w:pPr>
        <w:pStyle w:val="Heading2"/>
        <w:spacing w:after="120" w:before="280"/>
      </w:pPr>
      <w:r>
        <w:t xml:space="preserve">4.4 导出与 PHI 脱敏门</w:t>
      </w:r>
    </w:p>
    <w:p>
      <w:pPr>
        <w:spacing w:after="120" w:line="320"/>
      </w:pPr>
      <w:r>
        <w:rPr>
          <w:sz w:val="21"/>
          <w:szCs w:val="21"/>
        </w:rPr>
        <w:t xml:space="preserve">导出 docx 前强制通过 PHI 核查（规则引擎 + 模型双重扫描）。chip 引用的内容在插入时已脱敏（绿色汇总）；核查重点是手工输入的正文 — 疑似姓名、精确日期等逐条列出，每条提供一键修复（替换为研究编号 / 改为相对时间 / 日期偏移）。未处理项不可导出。导出时 chip 展开为脱敏文本，引用来源清单可附于文末供伦理审查，润色历史可选保留为 Word 修订记录。</w:t>
      </w:r>
    </w:p>
    <w:p>
      <w:pPr>
        <w:spacing w:before="120"/>
        <w:jc w:val="center"/>
      </w:pPr>
      <w:r>
        <w:drawing>
          <wp:inline distT="0" distB="0" distL="0" distR="0">
            <wp:extent cx="5905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66666"/>
          <w:sz w:val="18"/>
          <w:szCs w:val="18"/>
        </w:rPr>
        <w:t xml:space="preserve">图 4 · 导出前 PHI 核查：自动脱敏汇总、逐条确认、审计记录</w:t>
      </w:r>
    </w:p>
    <w:p>
      <w:pPr>
        <w:pStyle w:val="Heading1"/>
        <w:spacing w:after="160" w:before="360"/>
      </w:pPr>
      <w:r>
        <w:t xml:space="preserve">5. 引用 Chip 数据模型与脱敏规则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2500"/>
        <w:gridCol w:w="2400"/>
        <w:gridCol w:w="2300"/>
      </w:tblGrid>
      <w:tr>
        <w:tc>
          <w:tcPr>
            <w:tcW w:type="dxa" w:w="13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Chip 类型</w:t>
            </w:r>
          </w:p>
        </w:tc>
        <w:tc>
          <w:tcPr>
            <w:tcW w:type="dxa" w:w="23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数据源</w:t>
            </w:r>
          </w:p>
        </w:tc>
        <w:tc>
          <w:tcPr>
            <w:tcW w:type="dxa" w:w="25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插入粒度</w:t>
            </w:r>
          </w:p>
        </w:tc>
        <w:tc>
          <w:tcPr>
            <w:tcW w:type="dxa" w:w="24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脱敏规则</w:t>
            </w:r>
          </w:p>
        </w:tc>
        <w:tc>
          <w:tcPr>
            <w:tcW w:type="dxa" w:w="23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患者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v3 projection / 事件图谱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基本特征 · 时间线 · 关键发现 · 影像结论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姓名→编号；生日→年龄；日期偏移；地址/电话剔除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 user · doc · patient_hash · 粒度 · 时间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研究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research roster / KPI / 里程碑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研究进展 · 队列基线汇总(Table 1) · 安全事件汇总 · roster 快照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成员患者一律以编号呈现；聚合统计不含个体标识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 study_id 与快照版本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研究内患者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@研究/患者 二级选择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同患者 chip 四档粒度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以筛查编号呈现（非全局 P 编号）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同时记录 study_id + patient_hash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文件/文献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文件库 + distill 摘要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摘要 · 关键结论 · 原文片段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沿用上传时的 PHI 标注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 file_id</w:t>
            </w:r>
          </w:p>
        </w:tc>
      </w:tr>
    </w:tbl>
    <w:p>
      <w:pPr>
        <w:spacing w:after="120" w:line="320"/>
      </w:pPr>
      <w:r>
        <w:rPr>
          <w:sz w:val="21"/>
          <w:szCs w:val="21"/>
        </w:rPr>
        <w:t xml:space="preserve"/>
      </w:r>
    </w:p>
    <w:p>
      <w:pPr>
        <w:spacing w:after="120" w:line="320"/>
      </w:pPr>
      <w:r>
        <w:rPr>
          <w:b/>
          <w:bCs/>
          <w:sz w:val="21"/>
          <w:szCs w:val="21"/>
        </w:rPr>
        <w:t xml:space="preserve">chip 序列化：</w:t>
      </w:r>
      <w:r>
        <w:rPr>
          <w:sz w:val="21"/>
          <w:szCs w:val="21"/>
        </w:rPr>
        <w:t xml:space="preserve">正文以占位符 {{ref:UUID}} 存储；doc_references 表存 chip 元数据（类型、目标 id、粒度、脱敏快照、来源节点 id 列表、插入时间）。快照固定 — 源数据更新不改写快照，只标记新鲜度提醒复核，保证文档可复现。</w:t>
      </w:r>
    </w:p>
    <w:p>
      <w:pPr>
        <w:pStyle w:val="Heading1"/>
        <w:spacing w:after="160" w:before="360"/>
      </w:pPr>
      <w:r>
        <w:t xml:space="preserve">6. API 设计（packages/server）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600"/>
      </w:tblGrid>
      <w:tr>
        <w:tc>
          <w:tcPr>
            <w:tcW w:type="dxa" w:w="34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端点</w:t>
            </w:r>
          </w:p>
        </w:tc>
        <w:tc>
          <w:tcPr>
            <w:tcW w:type="dxa" w:w="18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46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/api/v1/docs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 POST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文档列表 / 新建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/api/v1/docs/{id}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 PUT / DELETE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 / 保存（含自动保存）/ 删除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/api/v1/docs/{id}/polish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(SSE)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选中文本 + 指令 + chip 上下文 → 流式返回 diff 块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/api/v1/docs/{id}/references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解析 @ 选择，生成脱敏快照与 chip，写审计事件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/api/v1/docs/{id}/phi-scan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全文 PHI 扫描，返回逐条发现与建议修复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/api/v1/docs/{id}/export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chip 展开 + 生成 docx（可选修订记录/来源附录）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/api/v1/docs/{id}/snapshots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 POST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版本快照列表 / 回退</w:t>
            </w:r>
          </w:p>
        </w:tc>
      </w:tr>
    </w:tbl>
    <w:p>
      <w:pPr>
        <w:spacing w:after="120" w:line="320"/>
      </w:pPr>
      <w:r>
        <w:rPr>
          <w:sz w:val="21"/>
          <w:szCs w:val="21"/>
        </w:rPr>
        <w:t xml:space="preserve"/>
      </w:r>
    </w:p>
    <w:p>
      <w:pPr>
        <w:spacing w:after="120" w:line="320"/>
      </w:pPr>
      <w:r>
        <w:rPr>
          <w:sz w:val="21"/>
          <w:szCs w:val="21"/>
        </w:rPr>
        <w:t xml:space="preserve">润色 SSE 帧沿用 v2 聊天的 type 判别式约定（diff_chunk / provenance_warning / done / error），前端复用既有流处理与错误 UI。</w:t>
      </w:r>
    </w:p>
    <w:p>
      <w:pPr>
        <w:pStyle w:val="Heading1"/>
        <w:spacing w:after="160" w:before="360"/>
      </w:pPr>
      <w:r>
        <w:t xml:space="preserve">7. 技术方案要点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编辑器：TipTap（ProseMirror）— chip 实现为自定义 inline node，天然支持占位符序列化与拖拽；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diff：后端返回改写文本，前端 jsdiff 词级对齐渲染；每个 diff 块独立 accept/reject，落一次快照；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模型路由：新增「润色模型」设置项，默认继承全局 provider，可单独指定 highspeed 变体；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PHI 扫描：第一层正则/词典（姓名库、日期、证件号模式），第二层小模型审查，两层结果合并去重；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性能：长文按段落分块润色（进度可见、单段重试）；文档保存走防抖自动保存 + 显式快照。</w:t>
      </w:r>
    </w:p>
    <w:p>
      <w:pPr>
        <w:pStyle w:val="Heading1"/>
        <w:spacing w:after="160" w:before="360"/>
      </w:pPr>
      <w:r>
        <w:t xml:space="preserve">8. 分期计划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3200"/>
      </w:tblGrid>
      <w:tr>
        <w:tc>
          <w:tcPr>
            <w:tcW w:type="dxa" w:w="20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46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范围</w:t>
            </w:r>
          </w:p>
        </w:tc>
        <w:tc>
          <w:tcPr>
            <w:tcW w:type="dxa" w:w="3200"/>
            <w:shd w:fill="E8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 · MVP（约 2 周）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写作面板 + 选中润色 diff + 预设指令 + @ 患者引用（基本特征/时间线）+ 插入脱敏 + docx 导出（含基础 PHI 正则扫描）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医生可完成「引用→写作→润色→导出」全流程且导出物零 PHI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P2（约 2 周）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研究/文件引用 + 溯源悬停 + 数据新鲜度 + 无来源数值警示 + PHI 模型层扫描 + 版本快照回退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引用可溯源、核查双层生效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风格学习（persona + verdict）+ 润色历史回退 + 英文学术模板 + Word 修订记录导出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风格档案可积累且可回滚</w:t>
            </w:r>
          </w:p>
        </w:tc>
      </w:tr>
    </w:tbl>
    <w:p>
      <w:pPr>
        <w:pStyle w:val="Heading1"/>
        <w:spacing w:after="160" w:before="360"/>
      </w:pPr>
      <w:r>
        <w:t xml:space="preserve">9. 风险与开放问题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PHI 召回率：正则 + 模型双层仍可能漏检中文姓名变体；上线前需用标注集测召回，导出物默认加「已经 PHI 核查」水印页脚供人工兜底；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chip 快照与源数据漂移：已用「快照固定 + 新鲜度提醒」策略，需在 P2 验证医生是否理解该心智模型；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编辑器引入 TipTap 增加约 300KB 依赖：桌面端可接受；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开放问题：文档是否入 EventLog 并上链锚定（与病历同等审计级别）？建议 P2 讨论；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1"/>
          <w:szCs w:val="21"/>
        </w:rPr>
        <w:t xml:space="preserve">开放问题：润色是否计费（billing 已有基础设施）？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F5A6B"/>
    </w:rPr>
  </w:style>
  <w:style w:type="paragraph" w:styleId="Heading2">
    <w:name w:val="Heading 2"/>
    <w:basedOn w:val="Normal"/>
    <w:next w:val="Normal"/>
    <w:qFormat/>
    <w:rPr>
      <w:b/>
      <w:bCs/>
      <w:color w:val="1795AE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1532c40c2f17d903d2fe871a3b6c58e523c65a.png"/><Relationship Id="rId8" Type="http://schemas.openxmlformats.org/officeDocument/2006/relationships/image" Target="media/c49ed5f18bbf800865621575763e86eb584eb12f.png"/><Relationship Id="rId9" Type="http://schemas.openxmlformats.org/officeDocument/2006/relationships/image" Target="media/2966fab390f727a08e43a7c651955adf3f8d6cd6.png"/><Relationship Id="rId10" Type="http://schemas.openxmlformats.org/officeDocument/2006/relationships/image" Target="media/0ec2d2372af4a281dc8ee13c4866dae8b96c35e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2026-07-11T11:15:35.998Z</dcterms:created>
  <dcterms:modified xsi:type="dcterms:W3CDTF">2026-07-11T11:15:35.998Z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