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Terms of Use and Privacy Notice</w:t>
      </w:r>
    </w:p>
    <w:p>
      <w:pPr>
        <w:jc w:val="both"/>
      </w:pPr>
      <w:r>
        <w:t>Last updated 23 September 2026</w:t>
      </w:r>
    </w:p>
    <w:p>
      <w:pPr>
        <w:jc w:val="both"/>
      </w:pPr>
      <w:r>
        <w:t>Purpose and scope. This document brings together the general terms of use and the common privacy notice for the ONE features it describes. It applies alongside the legal information and privacy sheet for each deployment and, where relevant, the contract with the organisation operating the service. Each deployment's privacy sheet forms part of the information a person must receive before their data is processed.</w:t>
      </w:r>
    </w:p>
    <w:p>
      <w:pPr>
        <w:jc w:val="both"/>
      </w:pPr>
      <w:r>
        <w:t>Activation condition and real data. Before enabling a deployment with real data, the controller must identify itself and provide its contact details, the Data Protection Officer's contact details where appointment is required, each purpose and its legal basis under Articles 6 and 9 GDPR, providers and recipients, locations and transfers, retention periods for each system and backup, and a channel for exercising rights. The controller must also approve a data protection impact assessment where required, the information and representation process for the care recipient, security measures and processor agreements, and end-to-end tests of access, export, restriction, withdrawal and erasure. Until these requirements have been met and documented, use is limited to synthetic test data; this document does not authorise processing of real data.</w:t>
      </w:r>
    </w:p>
    <w:p>
      <w:pPr>
        <w:pStyle w:val="Heading1"/>
      </w:pPr>
      <w:r>
        <w:rPr>
          <w:rFonts w:ascii="Arial" w:hAnsi="Arial" w:eastAsia="Arial"/>
          <w:b/>
          <w:color w:val="000000"/>
          <w:sz w:val="30"/>
        </w:rPr>
        <w:t>Part I: Privacy Notice</w:t>
      </w:r>
    </w:p>
    <w:p>
      <w:pPr>
        <w:pStyle w:val="Heading2"/>
      </w:pPr>
      <w:r>
        <w:rPr>
          <w:rFonts w:ascii="Arial" w:hAnsi="Arial" w:eastAsia="Arial"/>
          <w:b/>
          <w:color w:val="000000"/>
          <w:sz w:val="24"/>
        </w:rPr>
        <w:t>1. Who processes your data</w:t>
      </w:r>
    </w:p>
    <w:p>
      <w:pPr>
        <w:jc w:val="both"/>
      </w:pPr>
      <w:r>
        <w:t>The controller is the person or organisation that determines the purposes and essential means of each use of ONE. Its name or registered name, address and direct, effective contact details must appear in the legal information accessible from the app or website and in the privacy sheet provided before data is collected. Where a care home, company or care organisation configures ONE for residents, patients or employees, that organisation may be the controller and the ONE provider may act as processor. The allocation of roles depends on who actually determines each purpose and must be reflected in the relevant contract.</w:t>
      </w:r>
    </w:p>
    <w:p>
      <w:pPr>
        <w:jc w:val="both"/>
      </w:pPr>
      <w:r>
        <w:t>The application provider may act as controller, joint controller or processor depending on who actually determines the purposes and essential means. The privacy sheet for each deployment and the contract identify the entities and each entity's role. A family administrator, technical provider or care facility must not be assumed to be the controller merely because it manages an account.</w:t>
      </w:r>
    </w:p>
    <w:p>
      <w:pPr>
        <w:jc w:val="both"/>
      </w:pPr>
      <w:r>
        <w:rPr>
          <w:rFonts w:ascii="Arial" w:hAnsi="Arial" w:eastAsia="Arial"/>
          <w:b w:val="0"/>
          <w:color w:val="000000"/>
          <w:sz w:val="20"/>
        </w:rPr>
        <w:t>If two entities jointly determine a purpose and the essential means, they will identify the joint controllership and make the essence of their arrangement under Article 26 GDPR available to people, including which entity receives requests. If the provider acts as processor, it will process data on documented instructions, assist the controller with rights, security, DPIAs and incidents, and return or erase data when the contract ends, unless the law requires it to be retained.</w:t>
      </w:r>
    </w:p>
    <w:p>
      <w:pPr>
        <w:jc w:val="both"/>
      </w:pPr>
      <w:r>
        <w:rPr>
          <w:rFonts w:ascii="Arial" w:hAnsi="Arial" w:eastAsia="Arial"/>
          <w:b w:val="0"/>
          <w:color w:val="000000"/>
          <w:sz w:val="20"/>
        </w:rPr>
        <w:t>Where a Data Protection Officer has been appointed, their contact details are provided with the deployment's legal information.</w:t>
      </w:r>
    </w:p>
    <w:p>
      <w:pPr>
        <w:pStyle w:val="Heading2"/>
      </w:pPr>
      <w:r>
        <w:rPr>
          <w:rFonts w:ascii="Arial" w:hAnsi="Arial" w:eastAsia="Arial"/>
          <w:b/>
          <w:color w:val="000000"/>
          <w:sz w:val="24"/>
        </w:rPr>
        <w:t>2. Who this notice applies to</w:t>
      </w:r>
    </w:p>
    <w:p>
      <w:pPr>
        <w:jc w:val="both"/>
      </w:pPr>
      <w:r>
        <w:rPr>
          <w:rFonts w:ascii="Arial" w:hAnsi="Arial" w:eastAsia="Arial"/>
          <w:b w:val="0"/>
          <w:color w:val="000000"/>
          <w:sz w:val="20"/>
        </w:rPr>
        <w:t>This notice provides information to:</w:t>
      </w:r>
    </w:p>
    <w:p>
      <w:pPr>
        <w:pStyle w:val="ListBullet"/>
        <w:jc w:val="both"/>
      </w:pPr>
      <w:r>
        <w:rPr>
          <w:rFonts w:ascii="Arial" w:hAnsi="Arial" w:eastAsia="Arial"/>
          <w:b w:val="0"/>
          <w:color w:val="000000"/>
          <w:sz w:val="20"/>
        </w:rPr>
        <w:t>the person receiving support and in whose name a profile is created;</w:t>
      </w:r>
    </w:p>
    <w:p>
      <w:pPr>
        <w:pStyle w:val="ListBullet"/>
        <w:jc w:val="both"/>
      </w:pPr>
      <w:r>
        <w:rPr>
          <w:rFonts w:ascii="Arial" w:hAnsi="Arial" w:eastAsia="Arial"/>
          <w:b w:val="0"/>
          <w:color w:val="000000"/>
          <w:sz w:val="20"/>
        </w:rPr>
        <w:t>family members, caregivers, professionals and administrators with an account;</w:t>
      </w:r>
    </w:p>
    <w:p>
      <w:pPr>
        <w:pStyle w:val="ListBullet"/>
        <w:jc w:val="both"/>
      </w:pPr>
      <w:r>
        <w:rPr>
          <w:rFonts w:ascii="Arial" w:hAnsi="Arial" w:eastAsia="Arial"/>
          <w:b w:val="0"/>
          <w:color w:val="000000"/>
          <w:sz w:val="20"/>
        </w:rPr>
        <w:t>the person using a phone as a camera or tracking device;</w:t>
      </w:r>
    </w:p>
    <w:p>
      <w:pPr>
        <w:pStyle w:val="ListBullet"/>
        <w:jc w:val="both"/>
      </w:pPr>
      <w:r>
        <w:rPr>
          <w:rFonts w:ascii="Arial" w:hAnsi="Arial" w:eastAsia="Arial"/>
          <w:b w:val="0"/>
          <w:color w:val="000000"/>
          <w:sz w:val="20"/>
        </w:rPr>
        <w:t>visitors, people living in the home, care staff and other people who may be incidentally seen or heard;</w:t>
      </w:r>
    </w:p>
    <w:p>
      <w:pPr>
        <w:pStyle w:val="ListBullet"/>
        <w:jc w:val="both"/>
      </w:pPr>
      <w:r>
        <w:rPr>
          <w:rFonts w:ascii="Arial" w:hAnsi="Arial" w:eastAsia="Arial"/>
          <w:b w:val="0"/>
          <w:color w:val="000000"/>
          <w:sz w:val="20"/>
        </w:rPr>
        <w:t>any person whose data is entered into medication records, invitations, messages, notes, alerts or requests.</w:t>
      </w:r>
    </w:p>
    <w:p>
      <w:pPr>
        <w:jc w:val="both"/>
      </w:pPr>
      <w:r>
        <w:rPr>
          <w:rFonts w:ascii="Arial" w:hAnsi="Arial" w:eastAsia="Arial"/>
          <w:b w:val="0"/>
          <w:color w:val="000000"/>
          <w:sz w:val="20"/>
        </w:rPr>
        <w:t xml:space="preserve">The purely personal or household use of a natural person may, in limited circumstances, fall outside the scope of the GDPR. This exception must not be assumed where a service is provided by an organisation, workers are regularly captured, common or public spaces are exposed, remote access is continuous, or a third party manages the service. A supplier's installation of cameras does not automatically transfer responsibility. In Spain, the AEPD's guidance on </w:t>
      </w:r>
      <w:hyperlink r:id="rId9">
        <w:r>
          <w:rPr>
            <w:rFonts w:ascii="Arial" w:hAnsi="Arial"/>
            <w:color w:val="000000"/>
            <w:sz w:val="20"/>
          </w:rPr>
          <w:t>video surveillance</w:t>
        </w:r>
      </w:hyperlink>
      <w:r>
        <w:rPr>
          <w:rFonts w:ascii="Arial" w:hAnsi="Arial" w:eastAsia="Arial"/>
          <w:b w:val="0"/>
          <w:color w:val="000000"/>
          <w:sz w:val="20"/>
        </w:rPr>
        <w:t xml:space="preserve"> and its </w:t>
      </w:r>
      <w:hyperlink r:id="rId10">
        <w:r>
          <w:rPr>
            <w:rFonts w:ascii="Arial" w:hAnsi="Arial"/>
            <w:color w:val="000000"/>
            <w:sz w:val="20"/>
          </w:rPr>
          <w:t>guidance on cameras in the homes of older people and care staff</w:t>
        </w:r>
      </w:hyperlink>
      <w:r>
        <w:rPr>
          <w:rFonts w:ascii="Arial" w:hAnsi="Arial" w:eastAsia="Arial"/>
          <w:b w:val="0"/>
          <w:color w:val="000000"/>
          <w:sz w:val="20"/>
        </w:rPr>
        <w:t xml:space="preserve"> should be taken into account.</w:t>
      </w:r>
    </w:p>
    <w:p>
      <w:pPr>
        <w:pStyle w:val="Heading2"/>
      </w:pPr>
      <w:r>
        <w:rPr>
          <w:rFonts w:ascii="Arial" w:hAnsi="Arial" w:eastAsia="Arial"/>
          <w:b/>
          <w:color w:val="000000"/>
          <w:sz w:val="24"/>
        </w:rPr>
        <w:t>3. What ONE is and its limits</w:t>
      </w:r>
    </w:p>
    <w:p>
      <w:pPr>
        <w:jc w:val="both"/>
      </w:pPr>
      <w:r>
        <w:rPr>
          <w:rFonts w:ascii="Arial" w:hAnsi="Arial" w:eastAsia="Arial"/>
          <w:b w:val="0"/>
          <w:color w:val="000000"/>
          <w:sz w:val="20"/>
        </w:rPr>
        <w:t>ONE brings together apps and services for organising care information at home or in a care setting. Depending on the configuration, it may include accounts and family members, user-entered medication reminders, check-ins, live cameras, image processing, indoor maps, safety events, recognition of a previously enrolled person, outdoor location, zone alerts and summaries assisted by language models.</w:t>
      </w:r>
    </w:p>
    <w:p>
      <w:pPr>
        <w:jc w:val="both"/>
      </w:pPr>
      <w:r>
        <w:rPr>
          <w:rFonts w:ascii="Arial" w:hAnsi="Arial" w:eastAsia="Arial"/>
          <w:b w:val="0"/>
          <w:color w:val="000000"/>
          <w:sz w:val="20"/>
        </w:rPr>
        <w:t>ONE may generate approximate observations or signals that require human review. Fall detection is heuristic and may produce false positives or fail to detect a fall. The location of objects and people depends on cameras, lighting, coverage, calibration and available data. A medication entry marked “taken” is a confirmation entered by a person; it does not prove that the medication was taken. A ONE message, summary, reminder or alert does not replace medical care, a professional's judgement, an emergency call or the person's company. The system must not be used as the sole means of monitoring, emergency response, diagnosis, treatment or care decision-making.</w:t>
      </w:r>
    </w:p>
    <w:p>
      <w:pPr>
        <w:jc w:val="both"/>
      </w:pPr>
      <w:r>
        <w:t>Regulatory classification depends on the intended purpose and on product, promotional and contractual claims. The label “not a medical device” alone does not determine whether software falls within Regulation (EU) 2017/745. The controller and manufacturer must assess and document the classification before presenting a feature as clinical or distributing it for a medical purpose.</w:t>
      </w:r>
    </w:p>
    <w:p>
      <w:pPr>
        <w:pStyle w:val="Heading2"/>
      </w:pPr>
      <w:r>
        <w:rPr>
          <w:rFonts w:ascii="Arial" w:hAnsi="Arial" w:eastAsia="Arial"/>
          <w:b/>
          <w:color w:val="000000"/>
          <w:sz w:val="24"/>
        </w:rPr>
        <w:t>4. What data is processed</w:t>
      </w:r>
    </w:p>
    <w:p>
      <w:pPr>
        <w:jc w:val="both"/>
      </w:pPr>
      <w:r>
        <w:rPr>
          <w:rFonts w:ascii="Arial" w:hAnsi="Arial" w:eastAsia="Arial"/>
          <w:b w:val="0"/>
          <w:color w:val="000000"/>
          <w:sz w:val="20"/>
        </w:rPr>
        <w:t>A category is activated only when the relevant feature is configured and in use. Categories not used by an app or deployment must be left out of the information shown to its users.</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Category</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Information and use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Account and access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Name, email address (optional in some flows), account ID, home, role, pairing codes and invitations, sessions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Create accounts, sign in, pair devices and apply permissions</w:t>
            </w:r>
          </w:p>
          <w:p>
            <w:pPr>
              <w:spacing w:after="50" w:before="0" w:line="254" w:lineRule="auto"/>
              <w:jc w:val="both"/>
            </w:pPr>
            <w:r>
              <w:rPr>
                <w:b/>
              </w:rPr>
              <w:t>Where data may flow / who can see it:</w:t>
            </w:r>
            <w:r>
              <w:t xml:space="preserve"> The app or website, ONE service and database; caregivers and administrators see members according to their role</w:t>
            </w:r>
          </w:p>
          <w:p>
            <w:pPr>
              <w:spacing w:after="50" w:before="0" w:line="254" w:lineRule="auto"/>
              <w:jc w:val="both"/>
            </w:pPr>
            <w:r>
              <w:rPr>
                <w:b/>
              </w:rPr>
              <w:t>Observed retention and required action:</w:t>
            </w:r>
            <w:r>
              <w:t xml:space="preserve"> Pairing code: single use and short expiry (10 minutes). Session: the ONE service default is 10,080 minutes (7 days), configurable; access is rejected after expiry, but periodic deletion of technical session records has not been demonstrated. The controller sets the period and verifies deletion.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Consent and controls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Selected purpose, notice version, date, actor, withdrawal, pause</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Enable or stop features and keep evidence of the decision</w:t>
            </w:r>
          </w:p>
          <w:p>
            <w:pPr>
              <w:spacing w:after="50" w:before="0" w:line="254" w:lineRule="auto"/>
              <w:jc w:val="both"/>
            </w:pPr>
            <w:r>
              <w:rPr>
                <w:b/>
              </w:rPr>
              <w:t>Where data may flow / who can see it:</w:t>
            </w:r>
            <w:r>
              <w:t xml:space="preserve"> ONE service and database and the privacy panel; the home administrator can view the history</w:t>
            </w:r>
          </w:p>
          <w:p>
            <w:pPr>
              <w:spacing w:after="50" w:before="0" w:line="254" w:lineRule="auto"/>
              <w:jc w:val="both"/>
            </w:pPr>
            <w:r>
              <w:rPr>
                <w:b/>
              </w:rPr>
              <w:t>Observed retention and required action:</w:t>
            </w:r>
            <w:r>
              <w:t xml:space="preserve"> No overall retention period for consent evidence has been documented. The controller sets and communicates the minimum period needed to demonstrate the choice and its withdrawal, restricts access to the history and deletes it when it is no longer necessary, unless a specific legal obligation requires retention.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Care and health data</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Care recipient, relationship, support focus, notes and check-ins, symptoms or answers entered by the person, possible fall events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Organise care and create summaries or signals for review</w:t>
            </w:r>
          </w:p>
          <w:p>
            <w:pPr>
              <w:spacing w:after="50" w:before="0" w:line="254" w:lineRule="auto"/>
              <w:jc w:val="both"/>
            </w:pPr>
            <w:r>
              <w:rPr>
                <w:b/>
              </w:rPr>
              <w:t>Where data may flow / who can see it:</w:t>
            </w:r>
            <w:r>
              <w:t xml:space="preserve"> The ONE service, database, app or website and, for a request initiated by a person, the configured AI provider</w:t>
            </w:r>
          </w:p>
          <w:p>
            <w:pPr>
              <w:spacing w:after="50" w:before="0" w:line="254" w:lineRule="auto"/>
              <w:jc w:val="both"/>
            </w:pPr>
            <w:r>
              <w:rPr>
                <w:b/>
              </w:rPr>
              <w:t>Observed retention and required action:</w:t>
            </w:r>
            <w:r>
              <w:t xml:space="preserve"> Events and summaries are configured to expire after 30 days in the current version. Physical deletion requires the administrative retention process to run; automatic execution has not been demonstrated. Deletion of every type of note, tracking record, backup or derived data has not been confirmed.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Medication</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Medication name, dose, times, instructions, assignment, plan version, status, notes and the person who recorded the status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Reminders and administrative coordination</w:t>
            </w:r>
          </w:p>
          <w:p>
            <w:pPr>
              <w:spacing w:after="50" w:before="0" w:line="254" w:lineRule="auto"/>
              <w:jc w:val="both"/>
            </w:pPr>
            <w:r>
              <w:rPr>
                <w:b/>
              </w:rPr>
              <w:t>Where data may flow / who can see it:</w:t>
            </w:r>
            <w:r>
              <w:t xml:space="preserve"> The ONE service and devices of people authorised for the home; the AI assistant may receive limited context.</w:t>
            </w:r>
          </w:p>
          <w:p>
            <w:pPr>
              <w:spacing w:after="50" w:before="0" w:line="254" w:lineRule="auto"/>
              <w:jc w:val="both"/>
            </w:pPr>
            <w:r>
              <w:rPr>
                <w:b/>
              </w:rPr>
              <w:t>Observed retention and required action:</w:t>
            </w:r>
            <w:r>
              <w:t xml:space="preserve"> An automatic purge specifically for medication plans or check-ins has not been verified. Set a period for each data type and verify deletion in the database, devices, providers and backups before enabling this purpose with real data.</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Camera and live video</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Video, microphone audio during a LiveKit session, sampled frames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View an authorised camera feed and analyse supported frames</w:t>
            </w:r>
          </w:p>
          <w:p>
            <w:pPr>
              <w:spacing w:after="50" w:before="0" w:line="254" w:lineRule="auto"/>
              <w:jc w:val="both"/>
            </w:pPr>
            <w:r>
              <w:rPr>
                <w:b/>
              </w:rPr>
              <w:t>Where data may flow / who can see it:</w:t>
            </w:r>
            <w:r>
              <w:t xml:space="preserve"> Publishing device → configured video service → authorised viewers; some frames are sent to the ONE analysis service.</w:t>
            </w:r>
          </w:p>
          <w:p>
            <w:pPr>
              <w:spacing w:after="50" w:before="0" w:line="254" w:lineRule="auto"/>
              <w:jc w:val="both"/>
            </w:pPr>
            <w:r>
              <w:rPr>
                <w:b/>
              </w:rPr>
              <w:t>Observed retention and required action:</w:t>
            </w:r>
            <w:r>
              <w:t xml:space="preserve"> Image analysis processes frames in memory and reports that it does not save them; video and audio are streamed in real time. Each deployment identifies recordings, logs, telemetry, dumps and backups; if they are not needed, they are disabled and checks confirm that media is not retained.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Snapshots, clips and photos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Optional event clip, an image of a possible fall event, reference photo for camera calibration</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Allow an event to be reviewed or locate a camera on the map</w:t>
            </w:r>
          </w:p>
          <w:p>
            <w:pPr>
              <w:spacing w:after="50" w:before="0" w:line="254" w:lineRule="auto"/>
              <w:jc w:val="both"/>
            </w:pPr>
            <w:r>
              <w:rPr>
                <w:b/>
              </w:rPr>
              <w:t>Where data may flow / who can see it:</w:t>
            </w:r>
            <w:r>
              <w:t xml:space="preserve"> Local object storage; clips and event snapshots use authenticated encryption when keys are configured; access to the ONE service is scoped by home and role</w:t>
            </w:r>
          </w:p>
          <w:p>
            <w:pPr>
              <w:spacing w:after="50" w:before="0" w:line="254" w:lineRule="auto"/>
              <w:jc w:val="both"/>
            </w:pPr>
            <w:r>
              <w:rPr>
                <w:b/>
              </w:rPr>
              <w:t>Observed retention and required action:</w:t>
            </w:r>
            <w:r>
              <w:t xml:space="preserve"> Clips: planned expiry after 7 days, subject to the retention process running. Event snapshots: expire after 30 days; physical deletion depends on the same administrative process. Camera reference photos have no observed general expiry; verify deletion when a camera is replaced or removed and when the home is deleted.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Maps and spatial data</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Rooms, polygons, 2D/3D geometry, RoomPlan, USDZ, calibration, camera pose, zones, furniture and relative coordinates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Represent the environment, place cameras and provide context for observations</w:t>
            </w:r>
          </w:p>
          <w:p>
            <w:pPr>
              <w:spacing w:after="50" w:before="0" w:line="254" w:lineRule="auto"/>
              <w:jc w:val="both"/>
            </w:pPr>
            <w:r>
              <w:rPr>
                <w:b/>
              </w:rPr>
              <w:t>Where data may flow / who can see it:</w:t>
            </w:r>
            <w:r>
              <w:t xml:space="preserve"> The ONE service and file storage; available through apps used by people authorised for the home.</w:t>
            </w:r>
          </w:p>
          <w:p>
            <w:pPr>
              <w:spacing w:after="50" w:before="0" w:line="254" w:lineRule="auto"/>
              <w:jc w:val="both"/>
            </w:pPr>
            <w:r>
              <w:rPr>
                <w:b/>
              </w:rPr>
              <w:t>Observed retention and required action:</w:t>
            </w:r>
            <w:r>
              <w:t xml:space="preserve"> Maps and calibration remain until replaced or the home is deleted under the documented design; no general expiry has been observed. They may reveal the layout and routines of the home. Approve a necessary retention period and test deletion of artefacts and backups.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Observations and events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Object or person label, time, camera, room, confidence, coordinate or zone, explanation, review status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Recent history and alerts for authorised people</w:t>
            </w:r>
          </w:p>
          <w:p>
            <w:pPr>
              <w:spacing w:after="50" w:before="0" w:line="254" w:lineRule="auto"/>
              <w:jc w:val="both"/>
            </w:pPr>
            <w:r>
              <w:rPr>
                <w:b/>
              </w:rPr>
              <w:t>Where data may flow / who can see it:</w:t>
            </w:r>
            <w:r>
              <w:t xml:space="preserve"> The ONE service and app or web views; data is limited by home and, for certain features, by person.</w:t>
            </w:r>
          </w:p>
          <w:p>
            <w:pPr>
              <w:spacing w:after="50" w:before="0" w:line="254" w:lineRule="auto"/>
              <w:jc w:val="both"/>
            </w:pPr>
            <w:r>
              <w:rPr>
                <w:b/>
              </w:rPr>
              <w:t>Observed retention and required action:</w:t>
            </w:r>
            <w:r>
              <w:t xml:space="preserve"> Events and summaries have retention periods of up to 30 days. Physical deletion requires the administrative retention process to run; automatic scheduling and deletion of all copies and event snapshots have not been demonstrated.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Facial biometrics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Temporary enrolment samples, encrypted embedding or template, model version, status and number of samples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Compare a person with an enrolled care recipient whose profile is active</w:t>
            </w:r>
          </w:p>
          <w:p>
            <w:pPr>
              <w:spacing w:after="50" w:before="0" w:line="254" w:lineRule="auto"/>
              <w:jc w:val="both"/>
            </w:pPr>
            <w:r>
              <w:rPr>
                <w:b/>
              </w:rPr>
              <w:t>Where data may flow / who can see it:</w:t>
            </w:r>
            <w:r>
              <w:t xml:space="preserve"> Frames are sent to the local analysis process; the encrypted template is in local storage; the identification result is linked to the event.</w:t>
            </w:r>
          </w:p>
          <w:p>
            <w:pPr>
              <w:spacing w:after="50" w:before="0" w:line="254" w:lineRule="auto"/>
              <w:jc w:val="both"/>
            </w:pPr>
            <w:r>
              <w:rPr>
                <w:b/>
              </w:rPr>
              <w:t>Observed retention and required action:</w:t>
            </w:r>
            <w:r>
              <w:t xml:space="preserve"> Enrolment samples are processed in memory under the design; the encrypted template remains until the feature is withdrawn or the profile is deleted. There is no automatic expiry. The home deletion service does not demonstrate deletion of the template and its copies; test this before enabling facial recognition.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Outdoor location</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Latitude and longitude, time, accuracy, speed or heading if present, battery level, device identifier and model, safe zones and geofence changes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View the latest position and, depending on configuration, up to seven days of history and entry or exit alerts</w:t>
            </w:r>
          </w:p>
          <w:p>
            <w:pPr>
              <w:spacing w:after="50" w:before="0" w:line="254" w:lineRule="auto"/>
              <w:jc w:val="both"/>
            </w:pPr>
            <w:r>
              <w:rPr>
                <w:b/>
              </w:rPr>
              <w:t>Where data may flow / who can see it:</w:t>
            </w:r>
            <w:r>
              <w:t xml:space="preserve"> Android stores a local history on the phone and syncs points with the ONE service; authorised caregivers can view the history.</w:t>
            </w:r>
          </w:p>
          <w:p>
            <w:pPr>
              <w:spacing w:after="50" w:before="0" w:line="254" w:lineRule="auto"/>
              <w:jc w:val="both"/>
            </w:pPr>
            <w:r>
              <w:rPr>
                <w:b/>
              </w:rPr>
              <w:t>Observed retention and required action:</w:t>
            </w:r>
            <w:r>
              <w:t xml:space="preserve"> The ONE service shows at most seven days of history and deletes older points when new points arrive. Scheduled cleanup and inclusion of location in general retention have not been demonstrated. The deployment must also delete local data, unsynchronised points and backups.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Speech-to-text and written text</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Audio from a “hold to talk” session; resulting transcript; check-in or query text</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Convert speech to text on Android or send a query or check-in requested by a person</w:t>
            </w:r>
          </w:p>
          <w:p>
            <w:pPr>
              <w:spacing w:after="50" w:before="0" w:line="254" w:lineRule="auto"/>
              <w:jc w:val="both"/>
            </w:pPr>
            <w:r>
              <w:rPr>
                <w:b/>
              </w:rPr>
              <w:t>Where data may flow / who can see it:</w:t>
            </w:r>
            <w:r>
              <w:t xml:space="preserve"> Android uses the operating system's speech recogniser, whose provider varies by device; check-in text is sent to the ONE service.</w:t>
            </w:r>
          </w:p>
          <w:p>
            <w:pPr>
              <w:spacing w:after="50" w:before="0" w:line="254" w:lineRule="auto"/>
              <w:jc w:val="both"/>
            </w:pPr>
            <w:r>
              <w:rPr>
                <w:b/>
              </w:rPr>
              <w:t>Observed retention and required action:</w:t>
            </w:r>
            <w:r>
              <w:t xml:space="preserve"> Android uses the operating system's speech recogniser; its provider depends on the device. The ONE service stores a derived summary or event; tests must verify that it does not log audio or original transcripts. The actual provider and its retention and transfer terms must be disclosed before voice is enabled.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AI outputs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Response text, evidence IDs, limitations and reported version or provider/model</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Respond to an explicit request using limited context</w:t>
            </w:r>
          </w:p>
          <w:p>
            <w:pPr>
              <w:spacing w:after="50" w:before="0" w:line="254" w:lineRule="auto"/>
              <w:jc w:val="both"/>
            </w:pPr>
            <w:r>
              <w:rPr>
                <w:b/>
              </w:rPr>
              <w:t>Where data may flow / who can see it:</w:t>
            </w:r>
            <w:r>
              <w:t xml:space="preserve"> LM Studio is the local default; configuration variables allow an external OpenAI-compatible service. The operator determines the actual provider</w:t>
            </w:r>
          </w:p>
          <w:p>
            <w:pPr>
              <w:spacing w:after="50" w:before="0" w:line="254" w:lineRule="auto"/>
              <w:jc w:val="both"/>
            </w:pPr>
            <w:r>
              <w:rPr>
                <w:b/>
              </w:rPr>
              <w:t>Observed retention and required action:</w:t>
            </w:r>
            <w:r>
              <w:t xml:space="preserve"> LM Studio is the local default, but configuration allows an external compatible service. The actual service receives a request and limited derived context. Identify the provider and region, retention, telemetry and use for training; put safeguards in place and update the privacy sheet before enabling it.</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Technical and audit data</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IP address, time, identifiers, device type, errors, access and sensitive actions, hosting logs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Security, technical diagnosis, auditing, abuse prevention and handling rights requests</w:t>
            </w:r>
          </w:p>
          <w:p>
            <w:pPr>
              <w:spacing w:after="50" w:before="0" w:line="254" w:lineRule="auto"/>
              <w:jc w:val="both"/>
            </w:pPr>
            <w:r>
              <w:rPr>
                <w:rFonts w:ascii="Arial" w:hAnsi="Arial" w:eastAsia="Arial"/>
                <w:b/>
                <w:color w:val="000000"/>
                <w:sz w:val="18"/>
              </w:rPr>
              <w:t>Where data may flow / who can see it:</w:t>
            </w:r>
            <w:r>
              <w:rPr>
                <w:rFonts w:ascii="Arial" w:hAnsi="Arial" w:eastAsia="Arial"/>
                <w:b w:val="0"/>
                <w:color w:val="000000"/>
                <w:sz w:val="18"/>
              </w:rPr>
              <w:t xml:space="preserve"> The host and restricted operations staff; an infrastructure provider, if any</w:t>
            </w:r>
          </w:p>
          <w:p>
            <w:pPr>
              <w:spacing w:after="50" w:before="0" w:line="254" w:lineRule="auto"/>
              <w:jc w:val="both"/>
            </w:pPr>
            <w:r>
              <w:rPr>
                <w:b/>
              </w:rPr>
              <w:t>Observed retention and required action:</w:t>
            </w:r>
            <w:r>
              <w:t xml:space="preserve"> No overall period has been verified for logs, analytics, exports or backups. Inventory each system and define rotation, deletion, encryption, restoration and backup expiry.</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Searches and outdoor maps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Place text, coordinates sent for reverse geocoding, requested map tiles</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Search for addresses and display outdoor maps</w:t>
            </w:r>
          </w:p>
          <w:p>
            <w:pPr>
              <w:spacing w:after="50" w:before="0" w:line="254" w:lineRule="auto"/>
              <w:jc w:val="both"/>
            </w:pPr>
            <w:r>
              <w:rPr>
                <w:rFonts w:ascii="Arial" w:hAnsi="Arial" w:eastAsia="Arial"/>
                <w:b/>
                <w:color w:val="000000"/>
                <w:sz w:val="18"/>
              </w:rPr>
              <w:t>Where data may flow / who can see it:</w:t>
            </w:r>
            <w:r>
              <w:rPr>
                <w:rFonts w:ascii="Arial" w:hAnsi="Arial" w:eastAsia="Arial"/>
                <w:b w:val="0"/>
                <w:color w:val="000000"/>
                <w:sz w:val="18"/>
              </w:rPr>
              <w:t xml:space="preserve"> Android makes requests to Nominatim/OpenStreetMap and loads tiles from the configured provider; Google Play Services may be involved in phone location</w:t>
            </w:r>
          </w:p>
          <w:p>
            <w:pPr>
              <w:spacing w:after="50" w:before="0" w:line="254" w:lineRule="auto"/>
              <w:jc w:val="both"/>
            </w:pPr>
            <w:r>
              <w:rPr>
                <w:b/>
              </w:rPr>
              <w:t>Observed retention and required action:</w:t>
            </w:r>
            <w:r>
              <w:t xml:space="preserve"> Android may query Nominatim/OpenStreetMap and load tiles from the configured map provider; other features may send an IP address, search text or coordinates. Identify the provider, service, data sent, region, retention and privacy link before enabling these requests.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Local caches</w:t>
            </w:r>
          </w:p>
        </w:tc>
        <w:tc>
          <w:tcPr>
            <w:tcW w:type="dxa" w:w="7502"/>
            <w:vAlign w:val="top"/>
            <w:tcMar>
              <w:top w:w="160" w:type="dxa"/>
              <w:start w:w="145" w:type="dxa"/>
              <w:bottom w:w="160" w:type="dxa"/>
              <w:end w:w="145" w:type="dxa"/>
            </w:tcMar>
          </w:tcPr>
          <w:p>
            <w:pPr>
              <w:spacing w:after="50" w:before="0" w:line="254" w:lineRule="auto"/>
              <w:jc w:val="both"/>
            </w:pPr>
            <w:r>
              <w:rPr>
                <w:rFonts w:ascii="Arial" w:hAnsi="Arial" w:eastAsia="Arial"/>
                <w:b/>
                <w:color w:val="000000"/>
                <w:sz w:val="18"/>
              </w:rPr>
              <w:t>Examples in ONE:</w:t>
            </w:r>
            <w:r>
              <w:rPr>
                <w:rFonts w:ascii="Arial" w:hAnsi="Arial" w:eastAsia="Arial"/>
                <w:b w:val="0"/>
                <w:color w:val="000000"/>
                <w:sz w:val="18"/>
              </w:rPr>
              <w:t xml:space="preserve"> Maps, cameras, events, objects or recent locations, tokens and selected state</w:t>
            </w:r>
          </w:p>
          <w:p>
            <w:pPr>
              <w:spacing w:after="50" w:before="0" w:line="254" w:lineRule="auto"/>
              <w:jc w:val="both"/>
            </w:pPr>
            <w:r>
              <w:rPr>
                <w:rFonts w:ascii="Arial" w:hAnsi="Arial" w:eastAsia="Arial"/>
                <w:b/>
                <w:color w:val="000000"/>
                <w:sz w:val="18"/>
              </w:rPr>
              <w:t>Purpose:</w:t>
            </w:r>
            <w:r>
              <w:rPr>
                <w:rFonts w:ascii="Arial" w:hAnsi="Arial" w:eastAsia="Arial"/>
                <w:b w:val="0"/>
                <w:color w:val="000000"/>
                <w:sz w:val="18"/>
              </w:rPr>
              <w:t xml:space="preserve"> Display content, maintain a session or allow offline tracking</w:t>
            </w:r>
          </w:p>
          <w:p>
            <w:pPr>
              <w:spacing w:after="50" w:before="0" w:line="254" w:lineRule="auto"/>
              <w:jc w:val="both"/>
            </w:pPr>
            <w:r>
              <w:rPr>
                <w:rFonts w:ascii="Arial" w:hAnsi="Arial" w:eastAsia="Arial"/>
                <w:b/>
                <w:color w:val="000000"/>
                <w:sz w:val="18"/>
              </w:rPr>
              <w:t>Where data may flow / who can see it:</w:t>
            </w:r>
            <w:r>
              <w:rPr>
                <w:rFonts w:ascii="Arial" w:hAnsi="Arial" w:eastAsia="Arial"/>
                <w:b w:val="0"/>
                <w:color w:val="000000"/>
                <w:sz w:val="18"/>
              </w:rPr>
              <w:t xml:space="preserve"> Browser, iOS Keychain, Android SecureStore and local databases or SharedPreferences, depending on the screen</w:t>
            </w:r>
          </w:p>
          <w:p>
            <w:pPr>
              <w:spacing w:after="50" w:before="0" w:line="254" w:lineRule="auto"/>
              <w:jc w:val="both"/>
            </w:pPr>
            <w:r>
              <w:rPr>
                <w:b/>
              </w:rPr>
              <w:t>Observed retention and required action:</w:t>
            </w:r>
            <w:r>
              <w:t xml:space="preserve"> Browser storage, iOS Keychain, Android SecureStore and other local storage may retain maps, events, locations, tokens and state. Each platform must delete relevant data when a person signs out, revokes permissions, removes a device or deletes an account, and must pass platform-specific tests.</w:t>
            </w:r>
          </w:p>
        </w:tc>
      </w:tr>
    </w:tbl>
    <w:p>
      <w:pPr>
        <w:spacing w:after="0"/>
      </w:pPr>
    </w:p>
    <w:p>
      <w:pPr>
        <w:jc w:val="both"/>
      </w:pPr>
      <w:r>
        <w:rPr>
          <w:rFonts w:ascii="Arial" w:hAnsi="Arial" w:eastAsia="Arial"/>
          <w:b w:val="0"/>
          <w:color w:val="000000"/>
          <w:sz w:val="20"/>
        </w:rPr>
        <w:t>Images, voice and location are personal data when they identify a person directly or indirectly. A facial image is not automatically a special category of personal data in every use. Templates used to compare a person with enrolled individuals may constitute specially protected biometric data when processed for the purpose of uniquely identifying a person. Medication, diagnoses, cognitive condition and health observations may constitute data concerning health. The controller will determine the applicable classification and apply Article 9 GDPR where relevant.</w:t>
      </w:r>
    </w:p>
    <w:p>
      <w:pPr>
        <w:pStyle w:val="Heading3"/>
      </w:pPr>
      <w:r>
        <w:rPr>
          <w:rFonts w:ascii="Arial" w:hAnsi="Arial" w:eastAsia="Arial"/>
          <w:b/>
          <w:color w:val="000000"/>
          <w:sz w:val="21"/>
        </w:rPr>
        <w:t>Where the data comes from</w:t>
      </w:r>
    </w:p>
    <w:p>
      <w:pPr>
        <w:jc w:val="both"/>
      </w:pPr>
      <w:r>
        <w:rPr>
          <w:rFonts w:ascii="Arial" w:hAnsi="Arial" w:eastAsia="Arial"/>
          <w:b w:val="0"/>
          <w:color w:val="000000"/>
          <w:sz w:val="20"/>
        </w:rPr>
        <w:t>Data may be provided directly by the person, a family member, caregiver or representative, the space administrator or a professional operator; generated through use of the apps and devices; collected through camera, microphone or location sensors; produced through automated detection or summaries; or received from configured operating system, mapping, voice or model services. Where data comes from another person, the controller will provide information about its source, categories, purpose, legal basis, recipients and retention under Article 14 GDPR, within the statutory period and no later than the first relevant contact or communication, unless an exception applies.</w:t>
      </w:r>
    </w:p>
    <w:p>
      <w:pPr>
        <w:pStyle w:val="Heading2"/>
      </w:pPr>
      <w:r>
        <w:rPr>
          <w:rFonts w:ascii="Arial" w:hAnsi="Arial" w:eastAsia="Arial"/>
          <w:b/>
          <w:color w:val="000000"/>
          <w:sz w:val="24"/>
        </w:rPr>
        <w:t>5. Why data is used and which legal basis applies</w:t>
      </w:r>
    </w:p>
    <w:p>
      <w:pPr>
        <w:jc w:val="both"/>
      </w:pPr>
      <w:r>
        <w:t>The controller must document an Article 6 GDPR legal basis for each purpose and, where special categories of data are processed, an applicable Article 9 condition. The examples in the table are assessment criteria, not a selected legal basis or a conclusion that processing is lawful. A purpose involving personal data must not be enabled until its legal basis and related information have been approved.</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Purpose</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Legal basis and evidence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Create and manage an account, home and roles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Contract where necessary to provide the service to that person; a legal obligation or legitimate interests only after an appropriate assessment in the circumstances</w:t>
            </w:r>
          </w:p>
          <w:p>
            <w:pPr>
              <w:spacing w:after="50" w:before="0" w:line="254" w:lineRule="auto"/>
              <w:jc w:val="both"/>
            </w:pPr>
            <w:r>
              <w:rPr>
                <w:b/>
              </w:rPr>
              <w:t>Article 9 GDPR, where special categories are involved:</w:t>
            </w:r>
            <w:r>
              <w:t xml:space="preserve"> Normally not, unless fields or context reveal health information</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Contract or record of processing activities and data fields limited to what is necessary</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Pair cameras and authenticate devices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Contract, assessed legitimate interests or consent, depending on the relationship and configuration</w:t>
            </w:r>
          </w:p>
          <w:p>
            <w:pPr>
              <w:spacing w:after="50" w:before="0" w:line="254" w:lineRule="auto"/>
              <w:jc w:val="both"/>
            </w:pPr>
            <w:r>
              <w:rPr>
                <w:b/>
              </w:rPr>
              <w:t>Article 9 GDPR, where special categories are involved:</w:t>
            </w:r>
            <w:r>
              <w:t xml:space="preserve"> Assess incidental health data captured by cameras</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Information on the device and a revocation mechanism</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Capture and analyse live video</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specific legal basis and demonstrated necessity; do not presume legitimate interests for monitoring care recipients</w:t>
            </w:r>
          </w:p>
          <w:p>
            <w:pPr>
              <w:spacing w:after="50" w:before="0" w:line="254" w:lineRule="auto"/>
              <w:jc w:val="both"/>
            </w:pPr>
            <w:r>
              <w:rPr>
                <w:b/>
              </w:rPr>
              <w:t>Article 9 GDPR, where special categories are involved:</w:t>
            </w:r>
            <w:r>
              <w:t xml:space="preserve"> An applicable condition for incidental health data and any special category actually processed</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A separate, freely given, informed, granular and revocable choice; an alternative if the person declines; information for third parties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Process LiveKit audio or convert speech to text</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basis for each audio flow and for conversion to text</w:t>
            </w:r>
          </w:p>
          <w:p>
            <w:pPr>
              <w:spacing w:after="50" w:before="0" w:line="254" w:lineRule="auto"/>
              <w:jc w:val="both"/>
            </w:pPr>
            <w:r>
              <w:rPr>
                <w:b/>
              </w:rPr>
              <w:t>Article 9 GDPR, where special categories are involved:</w:t>
            </w:r>
            <w:r>
              <w:t xml:space="preserve"> Audio may reveal health; assess the actual content</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Clarify whether audio is recorded or transcribed, who receives it and how processing can be stopped</w:t>
            </w:r>
          </w:p>
        </w:tc>
      </w:tr>
      <w:tr>
        <w:trPr>
          <w:cantSplit/>
        </w:trPr>
        <w:tc>
          <w:tcPr>
            <w:tcW w:type="dxa" w:w="2131"/>
            <w:vAlign w:val="top"/>
            <w:tcMar>
              <w:top w:w="160" w:type="dxa"/>
              <w:start w:w="145" w:type="dxa"/>
              <w:bottom w:w="160" w:type="dxa"/>
              <w:end w:w="145" w:type="dxa"/>
            </w:tcMar>
          </w:tcPr>
          <w:p>
            <w:pPr>
              <w:spacing w:after="0" w:line="252" w:lineRule="auto"/>
              <w:jc w:val="both"/>
            </w:pPr>
            <w:r>
              <w:t>Save clips or event snapshots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purpose distinct from live viewing; assess it separately</w:t>
            </w:r>
          </w:p>
          <w:p>
            <w:pPr>
              <w:spacing w:after="50" w:before="0" w:line="254" w:lineRule="auto"/>
              <w:jc w:val="both"/>
            </w:pPr>
            <w:r>
              <w:rPr>
                <w:b/>
              </w:rPr>
              <w:t>Article 9 GDPR, where special categories are involved:</w:t>
            </w:r>
            <w:r>
              <w:t xml:space="preserve"> The applicable condition if the material contains health or biometric data</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A separate option, reason, access controls and an approved short period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Create indoor maps and calibrations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An independent basis, taking account of intrusion and third-party data</w:t>
            </w:r>
          </w:p>
          <w:p>
            <w:pPr>
              <w:spacing w:after="50" w:before="0" w:line="254" w:lineRule="auto"/>
              <w:jc w:val="both"/>
            </w:pPr>
            <w:r>
              <w:rPr>
                <w:b/>
              </w:rPr>
              <w:t>Article 9 GDPR, where special categories are involved:</w:t>
            </w:r>
            <w:r>
              <w:t xml:space="preserve"> Assess whether the data is linked to health or identifying information</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Necessity compared with less detailed areas and a retention period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Object, presence or possible fall events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Basis, proportionality, reasonable expectations and effect on a vulnerable person</w:t>
            </w:r>
          </w:p>
          <w:p>
            <w:pPr>
              <w:spacing w:after="50" w:before="0" w:line="254" w:lineRule="auto"/>
              <w:jc w:val="both"/>
            </w:pPr>
            <w:r>
              <w:rPr>
                <w:b/>
              </w:rPr>
              <w:t>Article 9 GDPR, where special categories are involved:</w:t>
            </w:r>
            <w:r>
              <w:t xml:space="preserve"> Article 9 applies if an observation is used to infer health or clinical condition</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DPIA, purpose limits and human review</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Facial recognition of an enrolled person</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separate legal basis</w:t>
            </w:r>
          </w:p>
          <w:p>
            <w:pPr>
              <w:spacing w:after="50" w:before="0" w:line="254" w:lineRule="auto"/>
              <w:jc w:val="both"/>
            </w:pPr>
            <w:r>
              <w:rPr>
                <w:b/>
              </w:rPr>
              <w:t>Article 9 GDPR, where special categories are involved:</w:t>
            </w:r>
            <w:r>
              <w:t xml:space="preserve"> A valid Article 9 condition for biometric identification; check national restrictions</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An equivalent alternative without facial recognition, informed enrolment, revocation and effective erasure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Precise location, history and geofences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separate basis and justification for frequency, precision and schedule</w:t>
            </w:r>
          </w:p>
          <w:p>
            <w:pPr>
              <w:spacing w:after="50" w:before="0" w:line="254" w:lineRule="auto"/>
              <w:jc w:val="both"/>
            </w:pPr>
            <w:r>
              <w:rPr>
                <w:b/>
              </w:rPr>
              <w:t>Article 9 GDPR, where special categories are involved:</w:t>
            </w:r>
            <w:r>
              <w:t xml:space="preserve"> Normally not a special category by itself, although context may reveal health or habits</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Explicit activation, visible indicator, pause and verifiable deletion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Medication plans, reminders and confirmations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separate basis; contract only where truly necessary and expected</w:t>
            </w:r>
          </w:p>
          <w:p>
            <w:pPr>
              <w:spacing w:after="50" w:before="0" w:line="254" w:lineRule="auto"/>
              <w:jc w:val="both"/>
            </w:pPr>
            <w:r>
              <w:rPr>
                <w:b/>
              </w:rPr>
              <w:t>Article 9 GDPR, where special categories are involved:</w:t>
            </w:r>
            <w:r>
              <w:t xml:space="preserve"> An Article 9 condition for health information</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Define who enters and sees the data; clarify that a confirmation does not verify that medication was taken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Check-in and AI-assisted response</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basis for the text and each source data item; assess sending data to a third-party model</w:t>
            </w:r>
          </w:p>
          <w:p>
            <w:pPr>
              <w:spacing w:after="50" w:before="0" w:line="254" w:lineRule="auto"/>
              <w:jc w:val="both"/>
            </w:pPr>
            <w:r>
              <w:rPr>
                <w:b/>
              </w:rPr>
              <w:t>Article 9 GDPR, where special categories are involved:</w:t>
            </w:r>
            <w:r>
              <w:t xml:space="preserve"> Article 9 applies where the response is based on health information</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State in advance what context is used and where it is processed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Share with caregivers and family members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separate basis, scope for each person and grounds for representation</w:t>
            </w:r>
          </w:p>
          <w:p>
            <w:pPr>
              <w:spacing w:after="50" w:before="0" w:line="254" w:lineRule="auto"/>
              <w:jc w:val="both"/>
            </w:pPr>
            <w:r>
              <w:rPr>
                <w:b/>
              </w:rPr>
              <w:t>Article 9 GDPR, where special categories are involved:</w:t>
            </w:r>
            <w:r>
              <w:t xml:space="preserve"> May include health or biometric data</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Permissions by resource and person, not only a generic family acceptance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Security, fraud, support and legal obligations</w:t>
            </w:r>
          </w:p>
        </w:tc>
        <w:tc>
          <w:tcPr>
            <w:tcW w:type="dxa" w:w="7502"/>
            <w:vAlign w:val="top"/>
            <w:tcMar>
              <w:top w:w="160" w:type="dxa"/>
              <w:start w:w="145" w:type="dxa"/>
              <w:bottom w:w="160" w:type="dxa"/>
              <w:end w:w="145" w:type="dxa"/>
            </w:tcMar>
          </w:tcPr>
          <w:p>
            <w:pPr>
              <w:spacing w:after="50" w:before="0" w:line="254" w:lineRule="auto"/>
              <w:jc w:val="both"/>
            </w:pPr>
            <w:r>
              <w:rPr>
                <w:b/>
              </w:rPr>
              <w:t>Article 6 GDPR legal basis, to be documented in advance:</w:t>
            </w:r>
            <w:r>
              <w:t xml:space="preserve"> A legal obligation or documented legitimate interests, limited to what is necessary</w:t>
            </w:r>
          </w:p>
          <w:p>
            <w:pPr>
              <w:spacing w:after="50" w:before="0" w:line="254" w:lineRule="auto"/>
              <w:jc w:val="both"/>
            </w:pPr>
            <w:r>
              <w:rPr>
                <w:b/>
              </w:rPr>
              <w:t>Article 9 GDPR, where special categories are involved:</w:t>
            </w:r>
            <w:r>
              <w:t xml:space="preserve"> Minimise data; do not place sensitive content in logs</w:t>
            </w:r>
          </w:p>
          <w:p>
            <w:pPr>
              <w:spacing w:after="50" w:before="0" w:line="254" w:lineRule="auto"/>
              <w:jc w:val="both"/>
            </w:pPr>
            <w:r>
              <w:rPr>
                <w:rFonts w:ascii="Arial" w:hAnsi="Arial" w:eastAsia="Arial"/>
                <w:b/>
                <w:color w:val="000000"/>
                <w:sz w:val="18"/>
              </w:rPr>
              <w:t>Evidence required before activation:</w:t>
            </w:r>
            <w:r>
              <w:rPr>
                <w:rFonts w:ascii="Arial" w:hAnsi="Arial" w:eastAsia="Arial"/>
                <w:b w:val="0"/>
                <w:color w:val="000000"/>
                <w:sz w:val="18"/>
              </w:rPr>
              <w:t xml:space="preserve"> Legitimate interests assessment where used and a log retention schedule</w:t>
            </w:r>
          </w:p>
        </w:tc>
      </w:tr>
    </w:tbl>
    <w:p>
      <w:pPr>
        <w:spacing w:after="0"/>
      </w:pPr>
    </w:p>
    <w:p>
      <w:pPr>
        <w:pStyle w:val="Heading3"/>
      </w:pPr>
      <w:r>
        <w:rPr>
          <w:rFonts w:ascii="Arial" w:hAnsi="Arial" w:eastAsia="Arial"/>
          <w:b/>
          <w:color w:val="000000"/>
          <w:sz w:val="21"/>
        </w:rPr>
        <w:t>If you do not provide data</w:t>
      </w:r>
    </w:p>
    <w:p>
      <w:pPr>
        <w:jc w:val="both"/>
      </w:pPr>
      <w:r>
        <w:rPr>
          <w:rFonts w:ascii="Arial" w:hAnsi="Arial" w:eastAsia="Arial"/>
          <w:b w:val="0"/>
          <w:color w:val="000000"/>
          <w:sz w:val="20"/>
        </w:rPr>
        <w:t>The final notice will state, for each field or feature, which data is strictly necessary to create an account or provide a feature, which data is optional and the consequences of not providing it, such as being unable to sign in, sync location or generate a summary. Data that a user can leave blank will not be described as mandatory, and a basic feature will not be made conditional on accepting a separate optional purpose.</w:t>
      </w:r>
    </w:p>
    <w:p>
      <w:pPr>
        <w:jc w:val="both"/>
      </w:pPr>
      <w:r>
        <w:rPr>
          <w:rFonts w:ascii="Arial" w:hAnsi="Arial" w:eastAsia="Arial"/>
          <w:b w:val="0"/>
          <w:color w:val="000000"/>
          <w:sz w:val="20"/>
        </w:rPr>
        <w:t xml:space="preserve">Where processing is intended to rely on consent, consent must be an affirmative, specific, informed, freely given and demonstrable action, and must be as easy to withdraw as to give. For Article 9, check whether explicit consent or another applicable legal exception is required. The EDPB guidelines on </w:t>
      </w:r>
      <w:hyperlink r:id="rId11">
        <w:r>
          <w:rPr>
            <w:rFonts w:ascii="Arial" w:hAnsi="Arial"/>
            <w:color w:val="000000"/>
            <w:sz w:val="20"/>
          </w:rPr>
          <w:t>consent</w:t>
        </w:r>
      </w:hyperlink>
      <w:r>
        <w:rPr>
          <w:rFonts w:ascii="Arial" w:hAnsi="Arial" w:eastAsia="Arial"/>
          <w:b w:val="0"/>
          <w:color w:val="000000"/>
          <w:sz w:val="20"/>
        </w:rPr>
        <w:t xml:space="preserve"> are a reference for reviewing power imbalances, vulnerable people and conditional services. Do not activate biometrics, location or monitoring on the assumption that a caregiver can consent on someone else's behalf.</w:t>
      </w:r>
    </w:p>
    <w:p>
      <w:pPr>
        <w:pStyle w:val="Heading2"/>
      </w:pPr>
      <w:r>
        <w:rPr>
          <w:rFonts w:ascii="Arial" w:hAnsi="Arial" w:eastAsia="Arial"/>
          <w:b/>
          <w:color w:val="000000"/>
          <w:sz w:val="24"/>
        </w:rPr>
        <w:t>6. Who can access data</w:t>
      </w:r>
    </w:p>
    <w:p>
      <w:pPr>
        <w:jc w:val="both"/>
      </w:pPr>
      <w:r>
        <w:t>ONE accounts are organised mainly by home. The service applies controls specific to each feature and purpose and filters by person in certain queries. Individual access is not uniform across all features; the organisation operating ONE must assign each person the minimum permissions and check that every member can access only the data they need.</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Actor</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Access and limits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Resident or care recipient</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Account and some views depending on membership; a home member can view the resources ONE makes available to its members.</w:t>
            </w:r>
          </w:p>
          <w:p>
            <w:pPr>
              <w:spacing w:after="50" w:before="0" w:line="254" w:lineRule="auto"/>
              <w:jc w:val="both"/>
            </w:pPr>
            <w:r>
              <w:rPr>
                <w:b/>
              </w:rPr>
              <w:t>Required safeguard:</w:t>
            </w:r>
            <w:r>
              <w:t xml:space="preserve"> The person must be able to see their own data and decisions and know who has viewed their data; prevent exposure of other residents' information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Caregiver</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Can manage resources and, where a feature requires it, view family information, medication, location, events or summaries.</w:t>
            </w:r>
          </w:p>
          <w:p>
            <w:pPr>
              <w:spacing w:after="50" w:before="0" w:line="254" w:lineRule="auto"/>
              <w:jc w:val="both"/>
            </w:pPr>
            <w:r>
              <w:rPr>
                <w:b/>
              </w:rPr>
              <w:t>Required safeguard:</w:t>
            </w:r>
            <w:r>
              <w:t xml:space="preserve"> Limit access to assigned people and necessary purposes; justify and export each sensitive access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Home administrator</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Manages members, devices and controls and can request a home export. Only the administrator can request deletion of the home.</w:t>
            </w:r>
          </w:p>
          <w:p>
            <w:pPr>
              <w:spacing w:after="50" w:before="0" w:line="254" w:lineRule="auto"/>
              <w:jc w:val="both"/>
            </w:pPr>
            <w:r>
              <w:rPr>
                <w:b/>
              </w:rPr>
              <w:t>Required safeguard:</w:t>
            </w:r>
            <w:r>
              <w:t xml:space="preserve"> Technical administration does not automatically confer legal representation, the right to consent to processing or unrestricted clinical access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Publishing device or camera</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Can publish media using device credentials. It has not been verified that those credentials prevent all other access.</w:t>
            </w:r>
          </w:p>
          <w:p>
            <w:pPr>
              <w:spacing w:after="50" w:before="0" w:line="254" w:lineRule="auto"/>
              <w:jc w:val="both"/>
            </w:pPr>
            <w:r>
              <w:rPr>
                <w:b/>
              </w:rPr>
              <w:t>Required safeguard:</w:t>
            </w:r>
            <w:r>
              <w:t xml:space="preserve"> Must honour pause and revocation commands and must not be able to extract histories or change who gave consent</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Technical operator or ONE provider</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May have privileged access to the server, data, configuration, backups or support, depending on the deployment model.</w:t>
            </w:r>
          </w:p>
          <w:p>
            <w:pPr>
              <w:spacing w:after="50" w:before="0" w:line="254" w:lineRule="auto"/>
              <w:jc w:val="both"/>
            </w:pPr>
            <w:r>
              <w:rPr>
                <w:b/>
              </w:rPr>
              <w:t>Required safeguard:</w:t>
            </w:r>
            <w:r>
              <w:t xml:space="preserve"> Access must be exceptional, temporary, justified, logged and subject to instructions and contract; content must not be used for advertising or training</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LiveKit provider</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The video service transports session media. The entity operating it and the region depend on the deployment.</w:t>
            </w:r>
          </w:p>
          <w:p>
            <w:pPr>
              <w:spacing w:after="50" w:before="0" w:line="254" w:lineRule="auto"/>
              <w:jc w:val="both"/>
            </w:pPr>
            <w:r>
              <w:rPr>
                <w:b/>
              </w:rPr>
              <w:t>Required safeguard:</w:t>
            </w:r>
            <w:r>
              <w:t xml:space="preserve"> Confirm whether it is self-hosted or hosted, who administers it, and how recording, logs, relaying and region are handled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Model provider</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Receives the request and the limited context sent by the AI service to generate a response.</w:t>
            </w:r>
          </w:p>
          <w:p>
            <w:pPr>
              <w:spacing w:after="50" w:before="0" w:line="254" w:lineRule="auto"/>
              <w:jc w:val="both"/>
            </w:pPr>
            <w:r>
              <w:rPr>
                <w:b/>
              </w:rPr>
              <w:t>Required safeguard:</w:t>
            </w:r>
            <w:r>
              <w:t xml:space="preserve"> Require a contract and settings that prevent training and define retention, deletion and location; “OpenAI-compatible” does not identify the provider</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Map, voice and location providers</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May receive voice requests or search and location data depending on the operating system and configured services.</w:t>
            </w:r>
          </w:p>
          <w:p>
            <w:pPr>
              <w:spacing w:after="50" w:before="0" w:line="254" w:lineRule="auto"/>
              <w:jc w:val="both"/>
            </w:pPr>
            <w:r>
              <w:rPr>
                <w:b/>
              </w:rPr>
              <w:t>Required safeguard:</w:t>
            </w:r>
            <w:r>
              <w:t xml:space="preserve"> Disclose the actual name, data received, own purposes, privacy link, transfers and available controls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Authorities or other legally entitled third parties</w:t>
            </w:r>
          </w:p>
        </w:tc>
        <w:tc>
          <w:tcPr>
            <w:tcW w:type="dxa" w:w="7502"/>
            <w:vAlign w:val="top"/>
            <w:tcMar>
              <w:top w:w="160" w:type="dxa"/>
              <w:start w:w="145" w:type="dxa"/>
              <w:bottom w:w="160" w:type="dxa"/>
              <w:end w:w="145" w:type="dxa"/>
            </w:tcMar>
          </w:tcPr>
          <w:p>
            <w:pPr>
              <w:spacing w:after="50" w:before="0" w:line="254" w:lineRule="auto"/>
              <w:jc w:val="both"/>
            </w:pPr>
            <w:r>
              <w:rPr>
                <w:b/>
              </w:rPr>
              <w:t>Access observed in ONE:</w:t>
            </w:r>
            <w:r>
              <w:t xml:space="preserve"> Receive data only where there is a valid legal obligation and only to the extent strictly necessary.</w:t>
            </w:r>
          </w:p>
          <w:p>
            <w:pPr>
              <w:spacing w:after="50" w:before="0" w:line="254" w:lineRule="auto"/>
              <w:jc w:val="both"/>
            </w:pPr>
            <w:r>
              <w:rPr>
                <w:b/>
              </w:rPr>
              <w:t>Required safeguard:</w:t>
            </w:r>
            <w:r>
              <w:t xml:space="preserve"> Define a process for validating requests, minimising disclosures and keeping a record</w:t>
            </w:r>
          </w:p>
        </w:tc>
      </w:tr>
    </w:tbl>
    <w:p>
      <w:pPr>
        <w:spacing w:after="0"/>
      </w:pPr>
    </w:p>
    <w:p>
      <w:pPr>
        <w:jc w:val="both"/>
      </w:pPr>
      <w:r>
        <w:t>Invitations and membership of a home do not prove legal representation. Sharing devices, passwords or reconnection links may expose data and must be avoided. Persistent camera links and tokens stored in a browser require revocation, local access and sign-out controls. The download mechanism allows an authenticated member who is not a publisher to request an export of the entire home; only the administrator can request deletion of the home. The export does not provide a complete media package, and deletion alone does not demonstrate removal of all external files, particularly facial templates and backups. This mechanism does not demonstrate that each person's rights have been fully exercised and must be completed before real data is processed.</w:t>
      </w:r>
    </w:p>
    <w:p>
      <w:pPr>
        <w:pStyle w:val="Heading2"/>
      </w:pPr>
      <w:r>
        <w:rPr>
          <w:rFonts w:ascii="Arial" w:hAnsi="Arial" w:eastAsia="Arial"/>
          <w:b/>
          <w:color w:val="000000"/>
          <w:sz w:val="24"/>
        </w:rPr>
        <w:t>7. What is shared with models and providers</w:t>
      </w:r>
    </w:p>
    <w:p>
      <w:pPr>
        <w:jc w:val="both"/>
      </w:pPr>
      <w:r>
        <w:t>ONE may process video, maps and care data on infrastructure managed by the household, care facility or a contracted provider. By default, the artificial intelligence component is configured to run locally; the operator may choose a compatible external provider. The actual location, recipient and retention terms depend on each deployment and are stated in its privacy sheet.</w:t>
      </w:r>
    </w:p>
    <w:p>
      <w:pPr>
        <w:jc w:val="both"/>
      </w:pPr>
      <w:r>
        <w:t>When a person requests a check-in or summary, the configured AI service receives the request text and limited derived context, which may include recent events, medication information, daily check-ins or possible fall signals, depending on the feature used. The family feature excludes original video images, facial templates, event snapshots and unbounded transcripts. A request does not automatically send the entire history. The deployment must identify the provider and disclose its location, logs, support access, retention and use of data.</w:t>
      </w:r>
    </w:p>
    <w:p>
      <w:pPr>
        <w:jc w:val="both"/>
      </w:pPr>
      <w:r>
        <w:t>The actual recipients for each deployment must be identified by name and role in its privacy sheet, together with the data they receive, location, retention, support access, transfers and safeguards. If a feature uses a third party, this must be reflected in its configuration before activation. Where a provider acts as processor, the instructions and safeguards required by Article 28 GDPR will be formalised. Transfers outside the EEA are governed by Chapter V GDPR.</w:t>
      </w:r>
    </w:p>
    <w:p>
      <w:pPr>
        <w:pStyle w:val="Heading2"/>
      </w:pPr>
      <w:r>
        <w:rPr>
          <w:rFonts w:ascii="Arial" w:hAnsi="Arial" w:eastAsia="Arial"/>
          <w:b/>
          <w:color w:val="000000"/>
          <w:sz w:val="24"/>
        </w:rPr>
        <w:t>8. Retention and deletion</w:t>
      </w:r>
    </w:p>
    <w:p>
      <w:pPr>
        <w:jc w:val="both"/>
      </w:pPr>
      <w:r>
        <w:t>The retention periods and mechanisms in the tables reflect technical values configured for some categories. They do not replace the period the controller must set for each purpose. The controller must approve and communicate a necessary and proportionate period for each data type, service, provider and backup, and verify that deletion works across all of them.</w:t>
      </w:r>
    </w:p>
    <w:tbl>
      <w:tblPr>
        <w:tblStyle w:val="TableGrid"/>
        <w:tblW w:type="auto" w:w="0"/>
        <w:jc w:val="center"/>
        <w:tblLayout w:type="fixed"/>
        <w:tblLook w:firstColumn="1" w:firstRow="1" w:lastColumn="0" w:lastRow="0" w:noHBand="0" w:noVBand="1" w:val="04A0"/>
        <w:tblLayout w:type="fixed"/>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31"/>
        <w:gridCol w:w="7502"/>
      </w:tblGrid>
      <w:tr>
        <w:trPr>
          <w:tblHeader w:val="true"/>
          <w:cantSplit/>
        </w:trPr>
        <w:tc>
          <w:tcPr>
            <w:tcW w:type="dxa" w:w="2131"/>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Data</w:t>
            </w:r>
          </w:p>
        </w:tc>
        <w:tc>
          <w:tcPr>
            <w:tcW w:type="dxa" w:w="7502"/>
            <w:vAlign w:val="center"/>
            <w:tcMar>
              <w:top w:w="160" w:type="dxa"/>
              <w:start w:w="145" w:type="dxa"/>
              <w:bottom w:w="160" w:type="dxa"/>
              <w:end w:w="145" w:type="dxa"/>
            </w:tcMar>
          </w:tcPr>
          <w:p>
            <w:pPr>
              <w:spacing w:after="0" w:line="240" w:lineRule="auto"/>
              <w:jc w:val="left"/>
            </w:pPr>
            <w:r>
              <w:rPr>
                <w:rFonts w:ascii="Arial" w:hAnsi="Arial" w:eastAsia="Arial"/>
                <w:b/>
                <w:color w:val="000000"/>
                <w:sz w:val="19"/>
              </w:rPr>
              <w:t>Observed behaviour and policy</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Vision or map frames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Processed in memory; not persisted as frames in the routes reviewed</w:t>
            </w:r>
          </w:p>
          <w:p>
            <w:pPr>
              <w:spacing w:after="50" w:before="0" w:line="254" w:lineRule="auto"/>
              <w:jc w:val="both"/>
            </w:pPr>
            <w:r>
              <w:rPr>
                <w:b/>
              </w:rPr>
              <w:t>Control required before production:</w:t>
            </w:r>
            <w:r>
              <w:t xml:space="preserve"> Check that frames do not remain in temporary memory, error logs, telemetry or queues after analysis; document and test deletion.</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LiveKit video and audio</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Real-time stream</w:t>
            </w:r>
          </w:p>
          <w:p>
            <w:pPr>
              <w:spacing w:after="50" w:before="0" w:line="254" w:lineRule="auto"/>
              <w:jc w:val="both"/>
            </w:pPr>
            <w:r>
              <w:rPr>
                <w:b/>
              </w:rPr>
              <w:t>Control required before production:</w:t>
            </w:r>
            <w:r>
              <w:t xml:space="preserve"> Configure whether the server records, relays or logs metadata; set the region and retention period; verify every participant, log and copy. Disable recording if it is unnecessary and do not enable the stream until this information has been disclosed.</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Pairing code</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Single use and short expiry (10 minutes in the design)</w:t>
            </w:r>
          </w:p>
          <w:p>
            <w:pPr>
              <w:spacing w:after="50" w:before="0" w:line="254" w:lineRule="auto"/>
              <w:jc w:val="both"/>
            </w:pPr>
            <w:r>
              <w:rPr>
                <w:b/>
              </w:rPr>
              <w:t>Control required before production:</w:t>
            </w:r>
            <w:r>
              <w:t xml:space="preserve"> Purge expired rows and request logs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Sessions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The default session period in the ONE service is 10,080 minutes (7 days) and can be configured. An expired session is rejected, but its technical record is not automatically deleted.</w:t>
            </w:r>
          </w:p>
          <w:p>
            <w:pPr>
              <w:spacing w:after="50" w:before="0" w:line="254" w:lineRule="auto"/>
              <w:jc w:val="both"/>
            </w:pPr>
            <w:r>
              <w:rPr>
                <w:b/>
              </w:rPr>
              <w:t>Control required before production:</w:t>
            </w:r>
            <w:r>
              <w:t xml:space="preserve"> Schedule and monitor deletion of expired rows and verify that sign-out, revocation and device loss invalidate stored tokens on every platform.</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Clips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7 days in the retention plan</w:t>
            </w:r>
          </w:p>
          <w:p>
            <w:pPr>
              <w:spacing w:after="50" w:before="0" w:line="254" w:lineRule="auto"/>
              <w:jc w:val="both"/>
            </w:pPr>
            <w:r>
              <w:rPr>
                <w:b/>
              </w:rPr>
              <w:t>Control required before production:</w:t>
            </w:r>
            <w:r>
              <w:t xml:space="preserve"> Automated task, objects and backups; deleting the database row does not delete the backup copy</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Events, observations and summaries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Events and summaries are assigned a 30-day expiry; older observations are also deleted by the retention task. The task exists as a manual administrative service, and no automatic scheduler has been found.</w:t>
            </w:r>
          </w:p>
          <w:p>
            <w:pPr>
              <w:spacing w:after="50" w:before="0" w:line="254" w:lineRule="auto"/>
              <w:jc w:val="both"/>
            </w:pPr>
            <w:r>
              <w:rPr>
                <w:b/>
              </w:rPr>
              <w:t>Control required before production:</w:t>
            </w:r>
            <w:r>
              <w:t xml:space="preserve"> Schedule and monitor the task; verify deletion of objects, indexes, events, summaries and event snapshots, including failures and backups.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Camera reference photos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The photo is stored as an artefact associated with camera metadata, and no general expiry has been observed.</w:t>
            </w:r>
          </w:p>
          <w:p>
            <w:pPr>
              <w:spacing w:after="50" w:before="0" w:line="254" w:lineRule="auto"/>
              <w:jc w:val="both"/>
            </w:pPr>
            <w:r>
              <w:rPr>
                <w:b/>
              </w:rPr>
              <w:t>Control required before production:</w:t>
            </w:r>
            <w:r>
              <w:t xml:space="preserve"> Test file deletion when replacing or removing the camera, deleting the home and reaching the approved retention deadline.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Maps, RoomPlan, USDZ and calibration</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Retained until replacement or deletion, according to the documentation</w:t>
            </w:r>
          </w:p>
          <w:p>
            <w:pPr>
              <w:spacing w:after="50" w:before="0" w:line="254" w:lineRule="auto"/>
              <w:jc w:val="both"/>
            </w:pPr>
            <w:r>
              <w:rPr>
                <w:b/>
              </w:rPr>
              <w:t>Control required before production:</w:t>
            </w:r>
            <w:r>
              <w:t xml:space="preserve"> Justify historical retention; remove artefacts and backups when replacing the map or closing the space</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Facial templates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Disabling the facial profile deletes the template in that specific flow. The home deletion service does not demonstrate deletion of the encrypted template and its copies.</w:t>
            </w:r>
          </w:p>
          <w:p>
            <w:pPr>
              <w:spacing w:after="50" w:before="0" w:line="254" w:lineRule="auto"/>
              <w:jc w:val="both"/>
            </w:pPr>
            <w:r>
              <w:rPr>
                <w:b/>
              </w:rPr>
              <w:t>Control required before production:</w:t>
            </w:r>
            <w:r>
              <w:t xml:space="preserve"> Include the template, database, caches, derived results and backups in withdrawal, erasure and home deletion tests.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Location</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History is designed for seven days; the ONE service deletes older data when new points arrive. The general retention task does not include location points.</w:t>
            </w:r>
          </w:p>
          <w:p>
            <w:pPr>
              <w:spacing w:after="50" w:before="0" w:line="254" w:lineRule="auto"/>
              <w:jc w:val="both"/>
            </w:pPr>
            <w:r>
              <w:rPr>
                <w:b/>
              </w:rPr>
              <w:t>Control required before production:</w:t>
            </w:r>
            <w:r>
              <w:t xml:space="preserve"> Schedule daily cleanup on the server and mobile device and verify offline points, geofences, exports and backups.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Medication, check-ins and consent records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No verified expiry date</w:t>
            </w:r>
          </w:p>
          <w:p>
            <w:pPr>
              <w:spacing w:after="50" w:before="0" w:line="254" w:lineRule="auto"/>
              <w:jc w:val="both"/>
            </w:pPr>
            <w:r>
              <w:rPr>
                <w:b/>
              </w:rPr>
              <w:t>Control required before production:</w:t>
            </w:r>
            <w:r>
              <w:t xml:space="preserve"> Approve a period for each plan and check-in, delete them when it expires or the relationship ends, and test this in databases, mobile devices, providers and backups.</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Audit records and requests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Minimal records are planned</w:t>
            </w:r>
          </w:p>
          <w:p>
            <w:pPr>
              <w:spacing w:after="50" w:before="0" w:line="254" w:lineRule="auto"/>
              <w:jc w:val="both"/>
            </w:pPr>
            <w:r>
              <w:rPr>
                <w:b/>
              </w:rPr>
              <w:t>Control required before production:</w:t>
            </w:r>
            <w:r>
              <w:t xml:space="preserve"> Justified period, access controls and separation from care history</w:t>
            </w:r>
          </w:p>
        </w:tc>
      </w:tr>
      <w:tr>
        <w:trPr>
          <w:cantSplit/>
        </w:trPr>
        <w:tc>
          <w:tcPr>
            <w:tcW w:type="dxa" w:w="2131"/>
            <w:vAlign w:val="top"/>
            <w:tcMar>
              <w:top w:w="160" w:type="dxa"/>
              <w:start w:w="145" w:type="dxa"/>
              <w:bottom w:w="160" w:type="dxa"/>
              <w:end w:w="145" w:type="dxa"/>
            </w:tcMar>
          </w:tcPr>
          <w:p>
            <w:pPr>
              <w:spacing w:after="0" w:line="252" w:lineRule="auto"/>
              <w:jc w:val="both"/>
            </w:pPr>
            <w:r>
              <w:rPr>
                <w:rFonts w:ascii="Arial" w:hAnsi="Arial" w:eastAsia="Arial"/>
                <w:b/>
                <w:color w:val="000000"/>
                <w:sz w:val="18"/>
              </w:rPr>
              <w:t>Logs, exports and backups</w:t>
            </w:r>
          </w:p>
        </w:tc>
        <w:tc>
          <w:tcPr>
            <w:tcW w:type="dxa" w:w="7502"/>
            <w:vAlign w:val="top"/>
            <w:tcMar>
              <w:top w:w="160" w:type="dxa"/>
              <w:start w:w="145" w:type="dxa"/>
              <w:bottom w:w="160" w:type="dxa"/>
              <w:end w:w="145" w:type="dxa"/>
            </w:tcMar>
          </w:tcPr>
          <w:p>
            <w:pPr>
              <w:spacing w:after="50" w:before="0" w:line="254" w:lineRule="auto"/>
              <w:jc w:val="both"/>
            </w:pPr>
            <w:r>
              <w:rPr>
                <w:b/>
              </w:rPr>
              <w:t>Observed behaviour:</w:t>
            </w:r>
            <w:r>
              <w:t xml:space="preserve"> No single duration has been verified</w:t>
            </w:r>
          </w:p>
          <w:p>
            <w:pPr>
              <w:spacing w:after="50" w:before="0" w:line="254" w:lineRule="auto"/>
              <w:jc w:val="both"/>
            </w:pPr>
            <w:r>
              <w:rPr>
                <w:b/>
              </w:rPr>
              <w:t>Control required before production:</w:t>
            </w:r>
            <w:r>
              <w:t xml:space="preserve"> Inventory each service and define deletion or rotation, encryption, restoration and backup expiry</w:t>
            </w:r>
          </w:p>
        </w:tc>
      </w:tr>
    </w:tbl>
    <w:p>
      <w:pPr>
        <w:spacing w:after="0"/>
      </w:pPr>
    </w:p>
    <w:p>
      <w:pPr>
        <w:jc w:val="both"/>
      </w:pPr>
      <w:r>
        <w:rPr>
          <w:rFonts w:ascii="Arial" w:hAnsi="Arial" w:eastAsia="Arial"/>
          <w:b w:val="0"/>
          <w:color w:val="000000"/>
          <w:sz w:val="20"/>
        </w:rPr>
        <w:t>If erasure is requested and a legal obligation prevents a record from being deleted, access to that record will be restricted, the reason will be explained and only the minimum required will be retained for the mandatory period. A backup that cannot immediately be changed must be unavailable for ordinary use, must not be restored unless necessary, must be deleted in the stated cycle and must receive the erasure instruction again after restoration. The controller will state accurately when deletion from active systems is complete and when backups expire.</w:t>
      </w:r>
    </w:p>
    <w:p>
      <w:pPr>
        <w:pStyle w:val="Heading2"/>
      </w:pPr>
      <w:r>
        <w:rPr>
          <w:rFonts w:ascii="Arial" w:hAnsi="Arial" w:eastAsia="Arial"/>
          <w:b/>
          <w:color w:val="000000"/>
          <w:sz w:val="24"/>
        </w:rPr>
        <w:t>9. Security</w:t>
      </w:r>
    </w:p>
    <w:p>
      <w:pPr>
        <w:jc w:val="both"/>
      </w:pPr>
      <w:r>
        <w:t>Depending on the configuration, ONE uses hashed sessions and codes, home membership checks, file-size limits, encryption for clips and facial templates when keys have been configured, protected session storage on iOS and operating system permissions. The organisation operating ONE must enable and verify these controls in its deployment.</w:t>
      </w:r>
    </w:p>
    <w:p>
      <w:pPr>
        <w:jc w:val="both"/>
      </w:pPr>
      <w:r>
        <w:t>The organisation operating ONE must configure real, rotated keys, encrypted communications, protected secrets, network controls, encrypted backups, restricted administrative access, updates, vulnerability management, authorisation tests, restoration and deletion tests, logs that contain no sensitive content and an incident plan. Real data must not be added to development repositories, issue trackers or test systems.</w:t>
      </w:r>
    </w:p>
    <w:p>
      <w:pPr>
        <w:jc w:val="both"/>
      </w:pPr>
      <w:r>
        <w:rPr>
          <w:rFonts w:ascii="Arial" w:hAnsi="Arial" w:eastAsia="Arial"/>
          <w:b w:val="0"/>
          <w:color w:val="000000"/>
          <w:sz w:val="20"/>
        </w:rPr>
        <w:t>If an incident compromises personal data, the controller will assess and document the risk and notify the supervisory authority without undue delay and, where required, within 72 hours after becoming aware of it. If a high risk is likely, the controller will inform affected people without undue delay, unless a legal exception applies. The processor will notify the controller without undue delay as required by contract.</w:t>
      </w:r>
    </w:p>
    <w:p>
      <w:pPr>
        <w:pStyle w:val="Heading2"/>
      </w:pPr>
      <w:r>
        <w:rPr>
          <w:rFonts w:ascii="Arial" w:hAnsi="Arial" w:eastAsia="Arial"/>
          <w:b/>
          <w:color w:val="000000"/>
          <w:sz w:val="24"/>
        </w:rPr>
        <w:t>10. Automated decisions, AI and accuracy</w:t>
      </w:r>
    </w:p>
    <w:p>
      <w:pPr>
        <w:jc w:val="both"/>
      </w:pPr>
      <w:r>
        <w:rPr>
          <w:rFonts w:ascii="Arial" w:hAnsi="Arial" w:eastAsia="Arial"/>
          <w:b w:val="0"/>
          <w:color w:val="000000"/>
          <w:sz w:val="20"/>
        </w:rPr>
        <w:t>ONE processes images for detection and, if enabled, compares a person with an enrolled facial template. Alerts, object or location estimates, possible fall events and summaries may be inaccurate. The design intention is for them to serve as administrative assistance or a signal for review, not as a clinical decision, diagnosis, employee monitoring or a decision based solely on automated processing with legal or similarly significant effects.</w:t>
      </w:r>
    </w:p>
    <w:p>
      <w:pPr>
        <w:jc w:val="both"/>
      </w:pPr>
      <w:r>
        <w:rPr>
          <w:rFonts w:ascii="Arial" w:hAnsi="Arial" w:eastAsia="Arial"/>
          <w:b w:val="0"/>
          <w:color w:val="000000"/>
          <w:sz w:val="20"/>
        </w:rPr>
        <w:t>Models may make errors, omit data, reflect bias or give incorrect answers. Users must review the source material and retain the final decision. A ONE signal must not be used to infer emotion, cognitive decline, compliance, clinical risk or need for treatment unless a future version has been assessed and authorised for that purpose. If the feature or actual use significantly affects a person, Article 22 GDPR, a DPIA, human oversight and the AI Regulation will be assessed.</w:t>
      </w:r>
    </w:p>
    <w:p>
      <w:pPr>
        <w:jc w:val="both"/>
      </w:pPr>
      <w:r>
        <w:t>From 2 August 2026, applicable transparency rules under the AI Regulation include informing people when they interact directly with an AI system, unless this is obvious to a reasonably informed person. ONE must clearly identify the assistant as AI. The 2026 amendment postpones certain obligations for systems classified as high-risk: those for Annex III systems apply from 2 December 2027 and those for Annex I products from 2 August 2028. Classification depends on intended purpose and actual use; those dates do not postpone transparency obligations that already apply.</w:t>
      </w:r>
    </w:p>
    <w:p>
      <w:pPr>
        <w:pStyle w:val="Heading2"/>
      </w:pPr>
      <w:r>
        <w:rPr>
          <w:rFonts w:ascii="Arial" w:hAnsi="Arial" w:eastAsia="Arial"/>
          <w:b/>
          <w:color w:val="000000"/>
          <w:sz w:val="24"/>
        </w:rPr>
        <w:t>11. Rights and how to exercise them</w:t>
      </w:r>
    </w:p>
    <w:p>
      <w:pPr>
        <w:jc w:val="both"/>
      </w:pPr>
      <w:r>
        <w:rPr>
          <w:rFonts w:ascii="Arial" w:hAnsi="Arial" w:eastAsia="Arial"/>
          <w:b w:val="0"/>
          <w:color w:val="000000"/>
          <w:sz w:val="20"/>
        </w:rPr>
        <w:t xml:space="preserve">Under the GDPR and applicable law, a person may request access and a copy, rectification, erasure, restriction, objection, portability where applicable, withdrawal of consent without affecting the lawfulness of prior processing, and safeguards concerning automated decisions. A person may also complain to the supervisory authority. In Spain, the authority is the </w:t>
      </w:r>
      <w:hyperlink r:id="rId12">
        <w:r>
          <w:rPr>
            <w:rFonts w:ascii="Arial" w:hAnsi="Arial"/>
            <w:color w:val="000000"/>
            <w:sz w:val="20"/>
          </w:rPr>
          <w:t>Spanish Data Protection Agency (AEPD)</w:t>
        </w:r>
      </w:hyperlink>
      <w:r>
        <w:rPr>
          <w:rFonts w:ascii="Arial" w:hAnsi="Arial" w:eastAsia="Arial"/>
          <w:b w:val="0"/>
          <w:color w:val="000000"/>
          <w:sz w:val="20"/>
        </w:rPr>
        <w:t>.</w:t>
      </w:r>
    </w:p>
    <w:p>
      <w:pPr>
        <w:jc w:val="both"/>
      </w:pPr>
      <w:r>
        <w:rPr>
          <w:rFonts w:ascii="Arial" w:hAnsi="Arial" w:eastAsia="Arial"/>
          <w:b w:val="0"/>
          <w:color w:val="000000"/>
          <w:sz w:val="20"/>
        </w:rPr>
        <w:t>To exercise your rights, use the privacy channel stated in the legal information for the app, contract or organisation administering ONE. Identify the home or account and the category of information requested. The controller may verify identity proportionately and, where someone acts for another person, request suitable evidence of representation or authority without asking for excessive data. A requester will not be required to provide more data than is needed to locate and protect the information.</w:t>
      </w:r>
    </w:p>
    <w:p>
      <w:pPr>
        <w:jc w:val="both"/>
      </w:pPr>
      <w:r>
        <w:t>As a rule, the controller will respond within one month. It may extend this by up to two further months where the complexity or number of requests warrants it, provided it informs the requester of the extension and its reasons within the first month. Available tools for downloading or deleting information do not by themselves demonstrate a complete response for each person or delivery of images, audio, biometric data and backups. Until the controller has verified their coverage, requests are handled through the privacy channel stated in the deployment's privacy sheet.</w:t>
      </w:r>
    </w:p>
    <w:p>
      <w:pPr>
        <w:jc w:val="both"/>
      </w:pPr>
      <w:r>
        <w:rPr>
          <w:rFonts w:ascii="Arial" w:hAnsi="Arial" w:eastAsia="Arial"/>
          <w:b w:val="0"/>
          <w:color w:val="000000"/>
          <w:sz w:val="20"/>
        </w:rPr>
        <w:t>Withdrawing an option will stop future collection or processing for that purpose as soon as technically possible. It does not automatically delete data already collected: the retention policy will apply and, where relevant, an erasure request will be handled. Pausing the camera must stop all publishers and live media; withdrawing audio must separately stop LiveKit and push-to-talk; disabling a feature in the operating system does not necessarily delete information already synced.</w:t>
      </w:r>
    </w:p>
    <w:p>
      <w:pPr>
        <w:pStyle w:val="Heading2"/>
      </w:pPr>
      <w:r>
        <w:rPr>
          <w:rFonts w:ascii="Arial" w:hAnsi="Arial" w:eastAsia="Arial"/>
          <w:b/>
          <w:color w:val="000000"/>
          <w:sz w:val="24"/>
        </w:rPr>
        <w:t>12. Care recipients, capacity and representation</w:t>
      </w:r>
    </w:p>
    <w:p>
      <w:pPr>
        <w:jc w:val="both"/>
      </w:pPr>
      <w:r>
        <w:rPr>
          <w:rFonts w:ascii="Arial" w:hAnsi="Arial" w:eastAsia="Arial"/>
          <w:b w:val="0"/>
          <w:color w:val="000000"/>
          <w:sz w:val="20"/>
        </w:rPr>
        <w:t>The person receiving care retains their dignity, privacy and right to be informed. A family relationship or caregiver or app administrator role does not automatically give someone authority to consent on that person's behalf. The controller must verify who may legally represent the person and the scope of that authority under applicable national law.</w:t>
      </w:r>
    </w:p>
    <w:p>
      <w:pPr>
        <w:jc w:val="both"/>
      </w:pPr>
      <w:r>
        <w:rPr>
          <w:rFonts w:ascii="Arial" w:hAnsi="Arial" w:eastAsia="Arial"/>
          <w:b w:val="0"/>
          <w:color w:val="000000"/>
          <w:sz w:val="20"/>
        </w:rPr>
        <w:t>Information will be offered in clear, accessible language and explained directly to the person wherever possible. Their wishes, preferences, objections and changes of mind will be respected; any representation will be reviewed periodically. If no valid legal basis can be established for a sensitive feature, that feature will not be activated. Care must not be conditional on accepting recording or location processing that is not strictly necessary and lawful.</w:t>
      </w:r>
    </w:p>
    <w:p>
      <w:pPr>
        <w:jc w:val="both"/>
      </w:pPr>
      <w:r>
        <w:t>Before activating cameras, the controller must inform visitors and care staff, provide suitable signs where required, limit the field of view to necessary spaces and times, exclude bathrooms, changing rooms and other private spaces, assess less intrusive alternatives and not use the system to monitor work performance. The AEPD's June 2026 guidance places the dignity, wishes and privacy of older people and the rights of care staff at its centre. The person must be able to express an objection, and the configuration must be reviewed if their needs or capacity change. Continuous recording and audio require stronger justification; as a general rule, the AEPD recommends avoiding sound capture because it is particularly intrusive.</w:t>
      </w:r>
    </w:p>
    <w:p>
      <w:pPr>
        <w:jc w:val="both"/>
      </w:pPr>
      <w:r>
        <w:t>ONE is not offered to minors until a specific assessment of age, parental representation, child protection design and applicable national law has been completed.</w:t>
      </w:r>
    </w:p>
    <w:p>
      <w:pPr>
        <w:pStyle w:val="Heading2"/>
      </w:pPr>
      <w:r>
        <w:rPr>
          <w:rFonts w:ascii="Arial" w:hAnsi="Arial" w:eastAsia="Arial"/>
          <w:b/>
          <w:color w:val="000000"/>
          <w:sz w:val="24"/>
        </w:rPr>
        <w:t>13. Permissions, local storage and web technologies</w:t>
      </w:r>
    </w:p>
    <w:p>
      <w:pPr>
        <w:jc w:val="both"/>
      </w:pPr>
      <w:r>
        <w:rPr>
          <w:rFonts w:ascii="Arial" w:hAnsi="Arial" w:eastAsia="Arial"/>
          <w:b w:val="0"/>
          <w:color w:val="000000"/>
          <w:sz w:val="20"/>
        </w:rPr>
        <w:t>Apps may request device permissions for the camera, microphone, precise or background location and notifications. Operating system permissions are technical controls; by themselves, they do not replace the legal basis, notice or valid consent for a purpose.</w:t>
      </w:r>
    </w:p>
    <w:p>
      <w:pPr>
        <w:jc w:val="both"/>
      </w:pPr>
      <w:r>
        <w:t>Android apps may use the camera, microphone, background location and local storage. iOS requests camera and microphone permissions according to the feature. Android may use the speech recogniser provided by the operating system, with conditions that vary by device; written input is offered as an alternative. The privacy sheet and privacy declarations for each distributed version must describe the actual flows.</w:t>
      </w:r>
    </w:p>
    <w:p>
      <w:pPr>
        <w:jc w:val="both"/>
      </w:pPr>
      <w:r>
        <w:rPr>
          <w:rFonts w:ascii="Arial" w:hAnsi="Arial" w:eastAsia="Arial"/>
          <w:b w:val="0"/>
          <w:color w:val="000000"/>
          <w:sz w:val="20"/>
        </w:rPr>
        <w:t xml:space="preserve">The website stores the session token in </w:t>
      </w:r>
      <w:r>
        <w:rPr>
          <w:rFonts w:ascii="Consolas" w:hAnsi="Consolas" w:eastAsia="Consolas"/>
          <w:b w:val="0"/>
          <w:color w:val="000000"/>
          <w:sz w:val="19"/>
        </w:rPr>
        <w:t>sessionStorage</w:t>
      </w:r>
      <w:r>
        <w:rPr>
          <w:rFonts w:ascii="Arial" w:hAnsi="Arial" w:eastAsia="Arial"/>
          <w:b w:val="0"/>
          <w:color w:val="000000"/>
          <w:sz w:val="20"/>
        </w:rPr>
        <w:t xml:space="preserve"> and a camera reconnection token or link in </w:t>
      </w:r>
      <w:r>
        <w:rPr>
          <w:rFonts w:ascii="Consolas" w:hAnsi="Consolas" w:eastAsia="Consolas"/>
          <w:b w:val="0"/>
          <w:color w:val="000000"/>
          <w:sz w:val="19"/>
        </w:rPr>
        <w:t>localStorage</w:t>
      </w:r>
      <w:r>
        <w:rPr>
          <w:rFonts w:ascii="Arial" w:hAnsi="Arial" w:eastAsia="Arial"/>
          <w:b w:val="0"/>
          <w:color w:val="000000"/>
          <w:sz w:val="20"/>
        </w:rPr>
        <w:t>; advertising analytics have not been verified. The controller must document cookies and equivalent technologies, local storage, telemetry and third-party SDKs. Where ePrivacy rules apply to storing information on or accessing information from terminal equipment, consent will be obtained when required, unless a technical exception applies. Spanish Law 34/2002 and cookie rules must be reviewed for the actual website and service.</w:t>
      </w:r>
    </w:p>
    <w:p>
      <w:pPr>
        <w:pStyle w:val="Heading2"/>
      </w:pPr>
      <w:r>
        <w:rPr>
          <w:rFonts w:ascii="Arial" w:hAnsi="Arial" w:eastAsia="Arial"/>
          <w:b/>
          <w:color w:val="000000"/>
          <w:sz w:val="24"/>
        </w:rPr>
        <w:t>14. Changes to this notice</w:t>
      </w:r>
    </w:p>
    <w:p>
      <w:pPr>
        <w:jc w:val="both"/>
      </w:pPr>
      <w:r>
        <w:rPr>
          <w:rFonts w:ascii="Arial" w:hAnsi="Arial" w:eastAsia="Arial"/>
          <w:b w:val="0"/>
          <w:color w:val="000000"/>
          <w:sz w:val="20"/>
        </w:rPr>
        <w:t>The notice will be updated when purposes, data, roles, recipients, providers, transfers, retention periods, AI model, location or permissions change. A material change will not be dealt with merely by publishing a new version: affected people will be informed before the new use, and a new decision will be obtained where necessary. The version, language, date, person, purpose and evidence of the choice will be recorded.</w:t>
      </w:r>
    </w:p>
    <w:p>
      <w:pPr>
        <w:pStyle w:val="Heading1"/>
        <w:pageBreakBefore/>
      </w:pPr>
      <w:r>
        <w:rPr>
          <w:rFonts w:ascii="Arial" w:hAnsi="Arial" w:eastAsia="Arial"/>
          <w:b/>
          <w:color w:val="000000"/>
          <w:sz w:val="30"/>
        </w:rPr>
        <w:t>Part II: ONE Terms of Use</w:t>
      </w:r>
    </w:p>
    <w:p>
      <w:pPr>
        <w:pStyle w:val="Heading2"/>
      </w:pPr>
      <w:r>
        <w:rPr>
          <w:rFonts w:ascii="Arial" w:hAnsi="Arial" w:eastAsia="Arial"/>
          <w:b/>
          <w:color w:val="000000"/>
          <w:sz w:val="24"/>
        </w:rPr>
        <w:t>15. Provider details and acceptance</w:t>
      </w:r>
    </w:p>
    <w:p>
      <w:pPr>
        <w:jc w:val="both"/>
      </w:pPr>
      <w:r>
        <w:t>These terms govern use of the ONE apps and services made available by the entity identified in the legal information permanently accessible from the app or website and in the applicable offer or contract (the “Provider”). That information will include the name or registered name, address, a direct and effective contact method and, where applicable, registration and tax details. The privacy notice explains the processing and is provided before data is collected. Accepting these terms does not replace privacy choices or separate consent that may be required for a particular purpose.</w:t>
      </w:r>
    </w:p>
    <w:p>
      <w:pPr>
        <w:jc w:val="both"/>
      </w:pPr>
      <w:r>
        <w:t>By creating an account or using the features, the person accepts these terms to the extent permitted by law. Where required, a summary and affirmative acceptance will be shown before the contract is concluded. For consumers in Spain, clear pre-contract information required by law will be provided before contracting, including the total price, features, duration and termination, the trader's identity and contact details, complaint channels and, where applicable, information on withdrawal and digital services. Confirmation of the contract will be supplied on a durable medium. Mandatory rules will be respected and unfair terms will not be applied.</w:t>
      </w:r>
    </w:p>
    <w:p>
      <w:pPr>
        <w:pStyle w:val="Heading2"/>
      </w:pPr>
      <w:r>
        <w:rPr>
          <w:rFonts w:ascii="Arial" w:hAnsi="Arial" w:eastAsia="Arial"/>
          <w:b/>
          <w:color w:val="000000"/>
          <w:sz w:val="24"/>
        </w:rPr>
        <w:t>16. What the service offers</w:t>
      </w:r>
    </w:p>
    <w:p>
      <w:pPr>
        <w:jc w:val="both"/>
      </w:pPr>
      <w:r>
        <w:t>According to the contracted configuration, ONE offers accounts and care spaces, device pairing, live viewing, image analysis, a home map, events and observations, medication reminders and administrative records, check-in records, family features, outdoor location and summaries assisted by artificial intelligence. Demo screens use synthetic data that does not relate to real people. A feature is available only when it is included in the contracted service and described in the information for that deployment.</w:t>
      </w:r>
    </w:p>
    <w:p>
      <w:pPr>
        <w:jc w:val="both"/>
      </w:pPr>
      <w:r>
        <w:rPr>
          <w:rFonts w:ascii="Arial" w:hAnsi="Arial" w:eastAsia="Arial"/>
          <w:b w:val="0"/>
          <w:color w:val="000000"/>
          <w:sz w:val="20"/>
        </w:rPr>
        <w:t>Features may be disabled, depend on compatible hardware or require local installation, internet, a home network, permissions or an external provider. Availability, regions, support, versions and maintenance are stated in the service information applicable to each deployment.</w:t>
      </w:r>
    </w:p>
    <w:p>
      <w:pPr>
        <w:pStyle w:val="Heading2"/>
      </w:pPr>
      <w:r>
        <w:rPr>
          <w:rFonts w:ascii="Arial" w:hAnsi="Arial" w:eastAsia="Arial"/>
          <w:b/>
          <w:color w:val="000000"/>
          <w:sz w:val="24"/>
        </w:rPr>
        <w:t>17. Accounts and responsibilities by role</w:t>
      </w:r>
    </w:p>
    <w:p>
      <w:pPr>
        <w:jc w:val="both"/>
      </w:pPr>
      <w:r>
        <w:rPr>
          <w:rFonts w:ascii="Arial" w:hAnsi="Arial" w:eastAsia="Arial"/>
          <w:b w:val="0"/>
          <w:color w:val="000000"/>
          <w:sz w:val="20"/>
        </w:rPr>
        <w:t>Users must keep account details accurate, safeguard credentials, protect their devices, report unauthorised access and sign out of shared equipment. Administrators will invite only trusted people and assign the least privileged role needed. Each caregiver will use an individual account; passwords and persistent links must not be shared.</w:t>
      </w:r>
    </w:p>
    <w:p>
      <w:pPr>
        <w:jc w:val="both"/>
      </w:pPr>
      <w:r>
        <w:rPr>
          <w:rFonts w:ascii="Arial" w:hAnsi="Arial" w:eastAsia="Arial"/>
          <w:b w:val="0"/>
          <w:color w:val="000000"/>
          <w:sz w:val="20"/>
        </w:rPr>
        <w:t>The “admin” role can manage technical aspects of the space, members, cameras and requests. It does not by itself confer legal authority to consent to processing for another person. The “caregiver” role enables certain family features under the deployment's technical rules. The “publisher” role belongs to a capture device and must not access care data it does not need. The organisation deploying ONE is responsible for assigning roles, reviewing access and removing credentials when a person stops participating.</w:t>
      </w:r>
    </w:p>
    <w:p>
      <w:pPr>
        <w:pStyle w:val="Heading2"/>
      </w:pPr>
      <w:r>
        <w:rPr>
          <w:rFonts w:ascii="Arial" w:hAnsi="Arial" w:eastAsia="Arial"/>
          <w:b/>
          <w:color w:val="000000"/>
          <w:sz w:val="24"/>
        </w:rPr>
        <w:t>18. Permitted use and protection of third parties</w:t>
      </w:r>
    </w:p>
    <w:p>
      <w:pPr>
        <w:jc w:val="both"/>
      </w:pPr>
      <w:r>
        <w:rPr>
          <w:rFonts w:ascii="Arial" w:hAnsi="Arial" w:eastAsia="Arial"/>
          <w:b w:val="0"/>
          <w:color w:val="000000"/>
          <w:sz w:val="20"/>
        </w:rPr>
        <w:t>Users agree to:</w:t>
      </w:r>
    </w:p>
    <w:p>
      <w:pPr>
        <w:pStyle w:val="ListBullet"/>
        <w:jc w:val="both"/>
      </w:pPr>
      <w:r>
        <w:rPr>
          <w:rFonts w:ascii="Arial" w:hAnsi="Arial" w:eastAsia="Arial"/>
          <w:b w:val="0"/>
          <w:color w:val="000000"/>
          <w:sz w:val="20"/>
        </w:rPr>
        <w:t>use ONE for the stated care purpose and in a way that respects dignity, privacy and the person's wishes;</w:t>
      </w:r>
    </w:p>
    <w:p>
      <w:pPr>
        <w:pStyle w:val="ListBullet"/>
        <w:jc w:val="both"/>
      </w:pPr>
      <w:r>
        <w:rPr>
          <w:rFonts w:ascii="Arial" w:hAnsi="Arial" w:eastAsia="Arial"/>
          <w:b w:val="0"/>
          <w:color w:val="000000"/>
          <w:sz w:val="20"/>
        </w:rPr>
        <w:t>install and aim cameras only in permitted and necessary spaces, inform everyone who may be captured and respect workers and visitors;</w:t>
      </w:r>
    </w:p>
    <w:p>
      <w:pPr>
        <w:pStyle w:val="ListBullet"/>
        <w:jc w:val="both"/>
      </w:pPr>
      <w:r>
        <w:rPr>
          <w:rFonts w:ascii="Arial" w:hAnsi="Arial" w:eastAsia="Arial"/>
          <w:b w:val="0"/>
          <w:color w:val="000000"/>
          <w:sz w:val="20"/>
        </w:rPr>
        <w:t>not install cameras in bathrooms, changing rooms or other private spaces, or point them at public roads, another person's home or shared spaces unless legally authorised;</w:t>
      </w:r>
    </w:p>
    <w:p>
      <w:pPr>
        <w:pStyle w:val="ListBullet"/>
        <w:jc w:val="both"/>
      </w:pPr>
      <w:r>
        <w:rPr>
          <w:rFonts w:ascii="Arial" w:hAnsi="Arial" w:eastAsia="Arial"/>
          <w:b w:val="0"/>
          <w:color w:val="000000"/>
          <w:sz w:val="20"/>
        </w:rPr>
        <w:t>enable audio, facial recognition, location, clips and sharing only after reviewing the relevant notice and legal basis;</w:t>
      </w:r>
    </w:p>
    <w:p>
      <w:pPr>
        <w:pStyle w:val="ListBullet"/>
        <w:jc w:val="both"/>
      </w:pPr>
      <w:r>
        <w:rPr>
          <w:rFonts w:ascii="Arial" w:hAnsi="Arial" w:eastAsia="Arial"/>
          <w:b w:val="0"/>
          <w:color w:val="000000"/>
          <w:sz w:val="20"/>
        </w:rPr>
        <w:t>not use ONE for workplace surveillance, covert monitoring, harassment, discrimination, general identification of visitors, model training, advertising or sale of data;</w:t>
      </w:r>
    </w:p>
    <w:p>
      <w:pPr>
        <w:pStyle w:val="ListBullet"/>
        <w:jc w:val="both"/>
      </w:pPr>
      <w:r>
        <w:rPr>
          <w:rFonts w:ascii="Arial" w:hAnsi="Arial" w:eastAsia="Arial"/>
          <w:b w:val="0"/>
          <w:color w:val="000000"/>
          <w:sz w:val="20"/>
        </w:rPr>
        <w:t>not use ONE results as the sole basis for medical, employment, insurance, housing, benefits, freedom of movement or emergency response decisions;</w:t>
      </w:r>
    </w:p>
    <w:p>
      <w:pPr>
        <w:pStyle w:val="ListBullet"/>
        <w:jc w:val="both"/>
      </w:pPr>
      <w:r>
        <w:rPr>
          <w:rFonts w:ascii="Arial" w:hAnsi="Arial" w:eastAsia="Arial"/>
          <w:b w:val="0"/>
          <w:color w:val="000000"/>
          <w:sz w:val="20"/>
        </w:rPr>
        <w:t>correct records they can edit, report security issues and not enter third-party information without authority or a valid purpose.</w:t>
      </w:r>
    </w:p>
    <w:p>
      <w:pPr>
        <w:jc w:val="both"/>
      </w:pPr>
      <w:r>
        <w:rPr>
          <w:rFonts w:ascii="Arial" w:hAnsi="Arial" w:eastAsia="Arial"/>
          <w:b w:val="0"/>
          <w:color w:val="000000"/>
          <w:sz w:val="20"/>
        </w:rPr>
        <w:t>An account holder is responsible for configuring the system in accordance with the law applicable to their activity, including obligations concerning workers, residents, visitors, signs, premises permissions, consent or representation and security. The Provider will supply tools and technical information but cannot determine on the user's behalf which legal basis applies, whether capture is proportionate or whether the user has authority to process another person's data.</w:t>
      </w:r>
    </w:p>
    <w:p>
      <w:pPr>
        <w:pStyle w:val="Heading2"/>
      </w:pPr>
      <w:r>
        <w:rPr>
          <w:rFonts w:ascii="Arial" w:hAnsi="Arial" w:eastAsia="Arial"/>
          <w:b/>
          <w:color w:val="000000"/>
          <w:sz w:val="24"/>
        </w:rPr>
        <w:t>19. Not an emergency service or medical advice</w:t>
      </w:r>
    </w:p>
    <w:p>
      <w:pPr>
        <w:jc w:val="both"/>
      </w:pPr>
      <w:r>
        <w:rPr>
          <w:rFonts w:ascii="Arial" w:hAnsi="Arial" w:eastAsia="Arial"/>
          <w:b w:val="0"/>
          <w:color w:val="000000"/>
          <w:sz w:val="20"/>
        </w:rPr>
        <w:t>ONE does not guarantee that it will detect a fall, object, departure, absence or medication intake. Network, camera, model, battery, permissions, lighting, storage and configuration may affect results. No permanent human monitoring or timely delivery of an alert is guaranteed. For emergencies, use local emergency services and care plans independent of ONE.</w:t>
      </w:r>
    </w:p>
    <w:p>
      <w:pPr>
        <w:jc w:val="both"/>
      </w:pPr>
      <w:r>
        <w:rPr>
          <w:rFonts w:ascii="Arial" w:hAnsi="Arial" w:eastAsia="Arial"/>
          <w:b w:val="0"/>
          <w:color w:val="000000"/>
          <w:sz w:val="20"/>
        </w:rPr>
        <w:t>Do not change, start or stop medication based on a summary. The person responsible for care will verify doses, times and instructions with the person and, where appropriate, a healthcare professional. “Taken”, “skipped” or “missed” statuses are administrative records entered by a person; they are not physical verification or a prescription.</w:t>
      </w:r>
    </w:p>
    <w:p>
      <w:pPr>
        <w:pStyle w:val="Heading2"/>
      </w:pPr>
      <w:r>
        <w:rPr>
          <w:rFonts w:ascii="Arial" w:hAnsi="Arial" w:eastAsia="Arial"/>
          <w:b/>
          <w:color w:val="000000"/>
          <w:sz w:val="24"/>
        </w:rPr>
        <w:t>20. AI and user-submitted content</w:t>
      </w:r>
    </w:p>
    <w:p>
      <w:pPr>
        <w:jc w:val="both"/>
      </w:pPr>
      <w:r>
        <w:rPr>
          <w:rFonts w:ascii="Arial" w:hAnsi="Arial" w:eastAsia="Arial"/>
          <w:b w:val="0"/>
          <w:color w:val="000000"/>
          <w:sz w:val="20"/>
        </w:rPr>
        <w:t>ONE responses may be generated automatically. Where required by law, the interface must clearly identify the assistant as AI and explain the context used. Users remain responsible for the text, photos, maps and information they provide and must have the rights or permissions needed to use them.</w:t>
      </w:r>
    </w:p>
    <w:p>
      <w:pPr>
        <w:jc w:val="both"/>
      </w:pPr>
      <w:r>
        <w:rPr>
          <w:rFonts w:ascii="Arial" w:hAnsi="Arial" w:eastAsia="Arial"/>
          <w:b w:val="0"/>
          <w:color w:val="000000"/>
          <w:sz w:val="20"/>
        </w:rPr>
        <w:t>The Provider will not use household data for advertising or general model training unless there is a separate valid legal basis, transparency and an option or consent where required. Features must not send content to an external provider unless the operator configures it and updates the privacy notice and recipient list.</w:t>
      </w:r>
    </w:p>
    <w:p>
      <w:pPr>
        <w:pStyle w:val="Heading2"/>
      </w:pPr>
      <w:r>
        <w:rPr>
          <w:rFonts w:ascii="Arial" w:hAnsi="Arial" w:eastAsia="Arial"/>
          <w:b/>
          <w:color w:val="000000"/>
          <w:sz w:val="24"/>
        </w:rPr>
        <w:t>21. Intellectual property and licence</w:t>
      </w:r>
    </w:p>
    <w:p>
      <w:pPr>
        <w:jc w:val="both"/>
      </w:pPr>
      <w:r>
        <w:rPr>
          <w:rFonts w:ascii="Arial" w:hAnsi="Arial" w:eastAsia="Arial"/>
          <w:b w:val="0"/>
          <w:color w:val="000000"/>
          <w:sz w:val="20"/>
        </w:rPr>
        <w:t>The Provider or its licensors retain their rights in the software, marks, designs and documentation. While the person has access to the service, they may use the ONE apps and features in accordance with these terms and their deployment's conditions. The user retains any rights they hold in the data and content they provide. To provide the service, the user authorises only the technical operations necessary and described in the notice and processor agreement; this authorisation does not transfer ownership or permit secondary use.</w:t>
      </w:r>
    </w:p>
    <w:p>
      <w:pPr>
        <w:jc w:val="both"/>
      </w:pPr>
      <w:r>
        <w:rPr>
          <w:rFonts w:ascii="Arial" w:hAnsi="Arial" w:eastAsia="Arial"/>
          <w:b w:val="0"/>
          <w:color w:val="000000"/>
          <w:sz w:val="20"/>
        </w:rPr>
        <w:t>Open-source software, dependencies, models and third-party data remain subject to their respective licences.</w:t>
      </w:r>
    </w:p>
    <w:p>
      <w:pPr>
        <w:pStyle w:val="Heading2"/>
      </w:pPr>
      <w:r>
        <w:rPr>
          <w:rFonts w:ascii="Arial" w:hAnsi="Arial" w:eastAsia="Arial"/>
          <w:b/>
          <w:color w:val="000000"/>
          <w:sz w:val="24"/>
        </w:rPr>
        <w:t>22. Price, contracting and consumer rights</w:t>
      </w:r>
    </w:p>
    <w:p>
      <w:pPr>
        <w:jc w:val="both"/>
      </w:pPr>
      <w:r>
        <w:t>Before contracting, the relevant offer will state the total price including taxes, billing frequency, renewal, minimum term, cancellation, payment methods, support, compatibility, interoperability and the procedure for correcting errors. The offer will expressly state whether the service is free, a pilot or paid, and the applicable terms.</w:t>
      </w:r>
    </w:p>
    <w:p>
      <w:pPr>
        <w:jc w:val="both"/>
      </w:pPr>
      <w:r>
        <w:t>For distance contracts with consumers, information will be provided about the 14-day right of withdrawal and applicable legal exceptions. Where the law allows the service to start during that period, the required express request and acknowledgement will be obtained first; a generic checkbox is not enough to remove the right. Mandatory rights concerning conformity, updates, modification and termination of digital content and services will be respected. Nothing in these terms limits statutory rights.</w:t>
      </w:r>
    </w:p>
    <w:p>
      <w:pPr>
        <w:pStyle w:val="Heading2"/>
      </w:pPr>
      <w:r>
        <w:rPr>
          <w:rFonts w:ascii="Arial" w:hAnsi="Arial" w:eastAsia="Arial"/>
          <w:b/>
          <w:color w:val="000000"/>
          <w:sz w:val="24"/>
        </w:rPr>
        <w:t>23. Availability, changes and suspension</w:t>
      </w:r>
    </w:p>
    <w:p>
      <w:pPr>
        <w:jc w:val="both"/>
      </w:pPr>
      <w:r>
        <w:rPr>
          <w:rFonts w:ascii="Arial" w:hAnsi="Arial" w:eastAsia="Arial"/>
          <w:b w:val="0"/>
          <w:color w:val="000000"/>
          <w:sz w:val="20"/>
        </w:rPr>
        <w:t>The Provider may maintain, correct or update ONE and will give notice of important changes that materially affect features, compatibility, security, privacy or price. The deploying organisation must not activate an update that introduces a new processing purpose without reviewing the notice, DPIA, legal bases and contracts.</w:t>
      </w:r>
    </w:p>
    <w:p>
      <w:pPr>
        <w:jc w:val="both"/>
      </w:pPr>
      <w:r>
        <w:rPr>
          <w:rFonts w:ascii="Arial" w:hAnsi="Arial" w:eastAsia="Arial"/>
          <w:b w:val="0"/>
          <w:color w:val="000000"/>
          <w:sz w:val="20"/>
        </w:rPr>
        <w:t>An account or feature may be temporarily restricted in response to a specific security threat, abuse, legal violation or risk to third parties. The measure will be limited to the necessary scope and duration, notified where law permits, and accompanied by a channel to challenge it. Withdrawing consent or permission for a sensitive feature must not result in a disproportionate penalty where alternatives are available.</w:t>
      </w:r>
    </w:p>
    <w:p>
      <w:pPr>
        <w:pStyle w:val="Heading2"/>
      </w:pPr>
      <w:r>
        <w:rPr>
          <w:rFonts w:ascii="Arial" w:hAnsi="Arial" w:eastAsia="Arial"/>
          <w:b/>
          <w:color w:val="000000"/>
          <w:sz w:val="24"/>
        </w:rPr>
        <w:t>24. Ending use, export and deletion</w:t>
      </w:r>
    </w:p>
    <w:p>
      <w:pPr>
        <w:jc w:val="both"/>
      </w:pPr>
      <w:r>
        <w:t>Users may stop using ONE, sign out, disable features and request access, export or deletion through the privacy channel stated in their deployment's legal information. Ending the contract does not necessarily delete data immediately; the notice's retention periods and legal obligations apply. The controller will coordinate the return or deletion of data with processors and backups.</w:t>
      </w:r>
    </w:p>
    <w:p>
      <w:pPr>
        <w:jc w:val="both"/>
      </w:pPr>
      <w:r>
        <w:t>Available download and deletion tools do not provide a complete media package or demonstrate removal of all external artefacts. They will not be described as a complete individual export or erasure. Requests will be received through the privacy channel, with proportionate verification and a review of backups, providers and other people's data.</w:t>
      </w:r>
    </w:p>
    <w:p>
      <w:pPr>
        <w:pStyle w:val="Heading2"/>
      </w:pPr>
      <w:r>
        <w:rPr>
          <w:rFonts w:ascii="Arial" w:hAnsi="Arial" w:eastAsia="Arial"/>
          <w:b/>
          <w:color w:val="000000"/>
          <w:sz w:val="24"/>
        </w:rPr>
        <w:t>25. Warranties, liability and complaints</w:t>
      </w:r>
    </w:p>
    <w:p>
      <w:pPr>
        <w:jc w:val="both"/>
      </w:pPr>
      <w:r>
        <w:rPr>
          <w:rFonts w:ascii="Arial" w:hAnsi="Arial" w:eastAsia="Arial"/>
          <w:b w:val="0"/>
          <w:color w:val="000000"/>
          <w:sz w:val="20"/>
        </w:rPr>
        <w:t>The service is provided with the warranties arising under the contract and applicable law. Nothing in these terms excludes liability for intentional misconduct, fraud, injury caused by negligence where exclusion is unlawful, breach of consumer rights, product liability or other liability that cannot be limited.</w:t>
      </w:r>
    </w:p>
    <w:p>
      <w:pPr>
        <w:jc w:val="both"/>
      </w:pPr>
      <w:r>
        <w:rPr>
          <w:rFonts w:ascii="Arial" w:hAnsi="Arial" w:eastAsia="Arial"/>
          <w:b w:val="0"/>
          <w:color w:val="000000"/>
          <w:sz w:val="20"/>
        </w:rPr>
        <w:t>Each party's liability is governed by the contract and applicable law. Consumer rights and liability that cannot be limited by law are not excluded. The user will not be assigned all responsibility for a technical failure, and notices will not be presented as a substitute for safe design.</w:t>
      </w:r>
    </w:p>
    <w:p>
      <w:pPr>
        <w:jc w:val="both"/>
      </w:pPr>
      <w:r>
        <w:rPr>
          <w:rFonts w:ascii="Arial" w:hAnsi="Arial" w:eastAsia="Arial"/>
          <w:b w:val="0"/>
          <w:color w:val="000000"/>
          <w:sz w:val="20"/>
        </w:rPr>
        <w:t>Service questions and complaints may be submitted through the support or complaint channel communicated by the Provider or the organisation administering ONE. Where the service is offered to consumers, complaint mechanisms and competent authorities established by law remain available.</w:t>
      </w:r>
    </w:p>
    <w:p>
      <w:pPr>
        <w:pStyle w:val="Heading2"/>
      </w:pPr>
      <w:r>
        <w:rPr>
          <w:rFonts w:ascii="Arial" w:hAnsi="Arial" w:eastAsia="Arial"/>
          <w:b/>
          <w:color w:val="000000"/>
          <w:sz w:val="24"/>
        </w:rPr>
        <w:t>26. Governing law and jurisdiction</w:t>
      </w:r>
    </w:p>
    <w:p>
      <w:pPr>
        <w:jc w:val="both"/>
      </w:pPr>
      <w:r>
        <w:t>Applicable law and competent courts will be determined under the contract and mandatory rules of the country where the user resides. Consumers retain the protections and jurisdictional rights granted by law, including the right to bring proceedings before their competent courts where applicable.</w:t>
      </w:r>
    </w:p>
    <w:p>
      <w:pPr>
        <w:pStyle w:val="Heading2"/>
      </w:pPr>
      <w:r>
        <w:rPr>
          <w:rFonts w:ascii="Arial" w:hAnsi="Arial" w:eastAsia="Arial"/>
          <w:b/>
          <w:color w:val="000000"/>
          <w:sz w:val="24"/>
        </w:rPr>
        <w:t>Legislation and guidance referenced</w:t>
      </w:r>
    </w:p>
    <w:p>
      <w:pPr>
        <w:jc w:val="both"/>
      </w:pPr>
      <w:r>
        <w:rPr>
          <w:rFonts w:ascii="Arial" w:hAnsi="Arial" w:eastAsia="Arial"/>
          <w:b w:val="0"/>
          <w:color w:val="000000"/>
          <w:sz w:val="20"/>
        </w:rPr>
        <w:t>The application of laws depends on the service, purpose, people affected and country. This document must be interpreted in accordance with applicable mandatory provisions.</w:t>
      </w:r>
    </w:p>
    <w:p>
      <w:pPr>
        <w:pStyle w:val="ListBullet"/>
        <w:jc w:val="both"/>
      </w:pPr>
      <w:r>
        <w:t>General Data Protection Regulation (GDPR), Regulation (EU) 2016/679 and, in Spain, Organic Law 3/2018.</w:t>
      </w:r>
      <w:r>
        <w:t xml:space="preserve"> Official source: </w:t>
      </w:r>
      <w:hyperlink r:id="rId27">
        <w:r>
          <w:rPr>
            <w:color w:val="000000"/>
            <w:u w:val="single"/>
          </w:rPr>
          <w:t>Regulation (EU) 2016/679</w:t>
        </w:r>
      </w:hyperlink>
    </w:p>
    <w:p>
      <w:pPr>
        <w:pStyle w:val="ListBullet"/>
        <w:jc w:val="both"/>
      </w:pPr>
      <w:r>
        <w:t>European Data Protection Board (EDPB) guidelines on consent, data protection impact assessments and video devices; June 2026 Spanish Data Protection Agency (AEPD) guidance on cameras in the homes of older people and care staff.</w:t>
      </w:r>
      <w:r>
        <w:t xml:space="preserve"> Official source: </w:t>
      </w:r>
      <w:hyperlink r:id="rId28">
        <w:r>
          <w:rPr>
            <w:color w:val="000000"/>
            <w:u w:val="single"/>
          </w:rPr>
          <w:t>AEPD guidance (Spanish)</w:t>
        </w:r>
      </w:hyperlink>
    </w:p>
    <w:p>
      <w:pPr>
        <w:pStyle w:val="ListBullet"/>
        <w:jc w:val="both"/>
      </w:pPr>
      <w:r>
        <w:t>Regulation (EU) 2017/745 on medical devices where the intended purpose of a feature is medical.</w:t>
      </w:r>
      <w:r>
        <w:t xml:space="preserve"> Official source: </w:t>
      </w:r>
      <w:hyperlink r:id="rId29">
        <w:r>
          <w:rPr>
            <w:color w:val="000000"/>
            <w:u w:val="single"/>
          </w:rPr>
          <w:t>Regulation (EU) 2017/745</w:t>
        </w:r>
      </w:hyperlink>
    </w:p>
    <w:p>
      <w:pPr>
        <w:pStyle w:val="ListBullet"/>
        <w:jc w:val="both"/>
      </w:pPr>
      <w:r>
        <w:t>Regulations (EU) 2024/1689 and (EU) 2026/1744 on artificial intelligence; classification and timetable depend on intended purpose and actual use.</w:t>
      </w:r>
      <w:r>
        <w:t xml:space="preserve"> Official source: </w:t>
      </w:r>
      <w:hyperlink r:id="rId30">
        <w:r>
          <w:rPr>
            <w:color w:val="000000"/>
            <w:u w:val="single"/>
          </w:rPr>
          <w:t>Regulation (EU) 2026/1744</w:t>
        </w:r>
      </w:hyperlink>
    </w:p>
    <w:p>
      <w:pPr>
        <w:pStyle w:val="ListBullet"/>
        <w:jc w:val="both"/>
      </w:pPr>
      <w:r>
        <w:t>Directive 2002/58/EC and Spanish Law 34/2002, including the rule on storing or accessing information on terminal equipment.</w:t>
      </w:r>
      <w:r>
        <w:t xml:space="preserve"> Official source: </w:t>
      </w:r>
      <w:hyperlink r:id="rId31">
        <w:r>
          <w:rPr>
            <w:color w:val="000000"/>
            <w:u w:val="single"/>
          </w:rPr>
          <w:t>Spanish Law 34/2002, Article 22(2)</w:t>
        </w:r>
      </w:hyperlink>
    </w:p>
    <w:p>
      <w:pPr>
        <w:pStyle w:val="ListBullet"/>
        <w:jc w:val="both"/>
      </w:pPr>
      <w:r>
        <w:t>Consolidated text of the General Law for the Protection of Consumers and Users, including the rules on distance contracts and digital content and services.</w:t>
      </w:r>
      <w:r>
        <w:t xml:space="preserve"> Official source: </w:t>
      </w:r>
      <w:hyperlink r:id="rId32">
        <w:r>
          <w:rPr>
            <w:color w:val="000000"/>
            <w:u w:val="single"/>
          </w:rPr>
          <w:t>Spanish Royal Legislative Decree 1/2007</w:t>
        </w:r>
      </w:hyperlink>
    </w:p>
    <w:p>
      <w:pPr>
        <w:pStyle w:val="ListBullet"/>
        <w:jc w:val="both"/>
      </w:pPr>
      <w:r>
        <w:t>Directive (EU) 2019/882 and Spanish Law 11/2023 on accessibility requirements, where the service or product falls within their scope.</w:t>
      </w:r>
      <w:r>
        <w:t xml:space="preserve"> Official source: </w:t>
      </w:r>
      <w:hyperlink r:id="rId33">
        <w:r>
          <w:rPr>
            <w:color w:val="000000"/>
            <w:u w:val="single"/>
          </w:rPr>
          <w:t>Directive (EU) 2019/882</w:t>
        </w:r>
      </w:hyperlink>
    </w:p>
    <w:p>
      <w:pPr>
        <w:pStyle w:val="ListBullet"/>
        <w:jc w:val="both"/>
      </w:pPr>
      <w:r>
        <w:t>Regulation (EU) 2023/2854 (Data Act), applicable from 12 September 2025; the design obligations in Article 3 depend, among other factors, on when the related product or service is placed on the market.</w:t>
      </w:r>
      <w:r>
        <w:t xml:space="preserve"> Official source: </w:t>
      </w:r>
      <w:hyperlink r:id="rId34">
        <w:r>
          <w:rPr>
            <w:color w:val="000000"/>
            <w:u w:val="single"/>
          </w:rPr>
          <w:t>Regulation (EU) 2023/2854</w:t>
        </w:r>
      </w:hyperlink>
    </w:p>
    <w:p>
      <w:pPr>
        <w:pStyle w:val="ListBullet"/>
        <w:jc w:val="both"/>
      </w:pPr>
      <w:r>
        <w:t>Regulation (EU) 2024/2847 (Cyber Resilience Act): the Article 14 reporting obligations apply from 11 September 2026; general application begins on 11 December 2027.</w:t>
      </w:r>
      <w:r>
        <w:t xml:space="preserve"> Official source: </w:t>
      </w:r>
      <w:hyperlink r:id="rId35">
        <w:r>
          <w:rPr>
            <w:color w:val="000000"/>
            <w:u w:val="single"/>
          </w:rPr>
          <w:t>Regulation (EU) 2024/2847</w:t>
        </w:r>
      </w:hyperlink>
    </w:p>
    <w:p>
      <w:pPr>
        <w:jc w:val="both"/>
      </w:pPr>
      <w:r>
        <w:t>National rules on health, social care, employment, capacity and support, research and telecare may apply depending on the intended purpose and actual use.</w:t>
      </w:r>
    </w:p>
    <w:sectPr w:rsidR="00FC693F" w:rsidRPr="0006063C" w:rsidSect="00034616">
      <w:footerReference w:type="default" r:id="rId26"/>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olor w:val="000000"/>
        <w:sz w:val="17"/>
      </w:rPr>
      <w:t xml:space="preserve">ONE  |  Terms of Use and Privacy Notice  |  Page </w:t>
    </w:r>
    <w:fldSimple w:instr="PAGE">
      <w:r>
        <w:rPr>
          <w:color w:val="000000"/>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GB"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pPr>
      <ns0:widowControl/>
      <ns0:spacing ns0:after="120" ns0:line="271" ns0:lineRule="auto"/>
      <ns0:jc ns0:val="both"/>
    </ns0:pPr>
    <ns0:rPr>
      <ns0:rFonts ns0:ascii="Arial" ns0:hAnsi="Arial"/>
      <ns0:color ns0:val="000000"/>
      <ns0:sz ns0:val="20"/>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260" ns0:after="120"/>
      <ns0:jc ns0:val="left"/>
      <ns0:outlineLvl ns0:val="0"/>
    </ns0:pPr>
    <ns0:rPr>
      <ns0:rFonts ns0:asciiTheme="majorHAnsi" ns0:eastAsiaTheme="majorEastAsia" ns0:hAnsiTheme="majorHAnsi" ns0:cstheme="majorBidi" ns0:ascii="Arial" ns0:hAnsi="Arial"/>
      <ns0:b/>
      <ns0:bCs/>
      <ns0:color ns0:val="000000"/>
      <ns0:sz ns0:val="30"/>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after="80"/>
      <ns0:jc ns0:val="left"/>
      <ns0:outlineLvl ns0:val="1"/>
    </ns0:pPr>
    <ns0:rPr>
      <ns0:rFonts ns0:asciiTheme="majorHAnsi" ns0:eastAsiaTheme="majorEastAsia" ns0:hAnsiTheme="majorHAnsi" ns0:cstheme="majorBidi" ns0:ascii="Arial" ns0:hAnsi="Arial"/>
      <ns0:b/>
      <ns0:bCs/>
      <ns0:color ns0:val="000000"/>
      <ns0:sz ns0:val="24"/>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60"/>
      <ns0:jc ns0:val="left"/>
      <ns0:outlineLvl ns0:val="2"/>
    </ns0:pPr>
    <ns0:rPr>
      <ns0:rFonts ns0:asciiTheme="majorHAnsi" ns0:eastAsiaTheme="majorEastAsia" ns0:hAnsiTheme="majorHAnsi" ns0:cstheme="majorBidi" ns0:ascii="Arial" ns0:hAnsi="Arial"/>
      <ns0:b/>
      <ns0:bCs/>
      <ns0:color ns0:val="000000"/>
      <ns0:sz ns0:val="2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000000"/>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000000"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000000"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000000"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000000"/>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000000"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000000"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000000"/>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000000"/>
    </ns0:rPr>
  </ns0:style>
  <ns0:style ns0:type="paragraph" ns0:styleId="Title">
    <ns0:name ns0:val="Title"/>
    <ns0:basedOn ns0:val="Normal"/>
    <ns0:next ns0:val="Normal"/>
    <ns0:link ns0:val="TitleChar"/>
    <ns0:uiPriority ns0:val="10"/>
    <ns0:qFormat/>
    <ns0:rsid ns0:val="00FC693F"/>
    <ns0:pPr>
      <ns0:keepNext/>
      <ns0:spacing ns0:after="140" ns0:line="240" ns0:lineRule="auto"/>
      <ns0:contextualSpacing/>
      <ns0:jc ns0:val="left"/>
    </ns0:pPr>
    <ns0:rPr>
      <ns0:rFonts ns0:asciiTheme="majorHAnsi" ns0:eastAsiaTheme="majorEastAsia" ns0:hAnsiTheme="majorHAnsi" ns0:cstheme="majorBidi" ns0:ascii="Arial" ns0:hAnsi="Arial"/>
      <ns0:b/>
      <ns0:color ns0:val="000000"/>
      <ns0:spacing ns0:val="5"/>
      <ns0:kern ns0:val="28"/>
      <ns0:sz ns0:val="46"/>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000000"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000000"/>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000000"/>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spacing ns0:after="60" ns0:line="264" ns0:lineRule="auto"/>
      <ns0:ind ns0:left="403" ns0:hanging="230"/>
      <ns0:contextualSpacing/>
      <ns0:jc ns0:val="both"/>
    </ns0:pPr>
    <ns0:rPr>
      <ns0:rFonts ns0:ascii="Arial" ns0:hAnsi="Arial"/>
      <ns0:color ns0:val="000000"/>
      <ns0:sz ns0:val="20"/>
    </ns0:r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rPr>
  </ns0:style>
  <ns0:style ns0:type="character" ns0:customStyle="1" ns0:styleId="QuoteChar">
    <ns0:name ns0:val="Quote Char"/>
    <ns0:basedOn ns0:val="DefaultParagraphFont"/>
    <ns0:link ns0:val="Quote"/>
    <ns0:uiPriority ns0:val="29"/>
    <ns0:rsid ns0:val="00FC693F"/>
    <ns0:rPr>
      <ns0:i/>
      <ns0:iCs/>
      <ns0:color ns0:val="000000"/>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000000"/>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000000"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000000"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000000"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000000"/>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000000"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000000"/>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000000"/>
    </ns0:rPr>
  </ns0:style>
  <ns0:style ns0:type="character" ns0:customStyle="1" ns0:styleId="IntenseQuoteChar">
    <ns0:name ns0:val="Intense Quote Char"/>
    <ns0:basedOn ns0:val="DefaultParagraphFont"/>
    <ns0:link ns0:val="IntenseQuote"/>
    <ns0:uiPriority ns0:val="30"/>
    <ns0:rsid ns0:val="00FC693F"/>
    <ns0:rPr>
      <ns0:b/>
      <ns0:bCs/>
      <ns0:i/>
      <ns0:iCs/>
      <ns0:color ns0:val="000000"/>
    </ns0:rPr>
  </ns0:style>
  <ns0:style ns0:type="character" ns0:styleId="SubtleEmphasis">
    <ns0:name ns0:val="Subtle Emphasis"/>
    <ns0:basedOn ns0:val="DefaultParagraphFont"/>
    <ns0:uiPriority ns0:val="19"/>
    <ns0:qFormat/>
    <ns0:rsid ns0:val="00FC693F"/>
    <ns0:rPr>
      <ns0:i/>
      <ns0:iCs/>
      <ns0:color ns0:val="000000" ns0:themeTint="7F"/>
    </ns0:rPr>
  </ns0:style>
  <ns0:style ns0:type="character" ns0:styleId="IntenseEmphasis">
    <ns0:name ns0:val="Intense Emphasis"/>
    <ns0:basedOn ns0:val="DefaultParagraphFont"/>
    <ns0:uiPriority ns0:val="21"/>
    <ns0:qFormat/>
    <ns0:rsid ns0:val="00FC693F"/>
    <ns0:rPr>
      <ns0:b/>
      <ns0:bCs/>
      <ns0:i/>
      <ns0:iCs/>
      <ns0:color ns0:val="000000"/>
    </ns0:rPr>
  </ns0:style>
  <ns0:style ns0:type="character" ns0:styleId="SubtleReference">
    <ns0:name ns0:val="Subtle Reference"/>
    <ns0:basedOn ns0:val="DefaultParagraphFont"/>
    <ns0:uiPriority ns0:val="31"/>
    <ns0:qFormat/>
    <ns0:rsid ns0:val="00FC693F"/>
    <ns0:rPr>
      <ns0:smallCaps/>
      <ns0:color ns0:val="000000"/>
      <ns0:u ns0:val="single"/>
    </ns0:rPr>
  </ns0:style>
  <ns0:style ns0:type="character" ns0:styleId="IntenseReference">
    <ns0:name ns0:val="Intense Reference"/>
    <ns0:basedOn ns0:val="DefaultParagraphFont"/>
    <ns0:uiPriority ns0:val="32"/>
    <ns0:qFormat/>
    <ns0:rsid ns0:val="00FC693F"/>
    <ns0:rPr>
      <ns0:b/>
      <ns0:bCs/>
      <ns0:smallCaps/>
      <ns0:color ns0:val="000000"/>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FFFFF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FFFFF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FFFFF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FFFFF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FFFFF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FFFFF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FFFFF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FFFFF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FFFFF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FFFFF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FFFFF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FFFFF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FFFF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FFFF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000000"/>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000000"/>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000000"/>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000000"/>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000000"/>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000000"/>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000000"/>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FFFFFF"/>
      </ns0:tcPr>
    </ns0:tblStylePr>
    <ns0:tblStylePr ns0:type="nwCell">
      <ns0:tblPr/>
      <ns0:tcPr>
        <ns0:shd ns0:val="clear" ns0:color="auto" ns0:fill="FFFFFF"/>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FFFFFF"/>
      </ns0:tcPr>
    </ns0:tblStylePr>
    <ns0:tblStylePr ns0:type="nwCell">
      <ns0:tblPr/>
      <ns0:tcPr>
        <ns0:shd ns0:val="clear" ns0:color="auto" ns0:fill="FFFFFF"/>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FFFFFF"/>
      </ns0:tcPr>
    </ns0:tblStylePr>
    <ns0:tblStylePr ns0:type="nwCell">
      <ns0:tblPr/>
      <ns0:tcPr>
        <ns0:shd ns0:val="clear" ns0:color="auto" ns0:fill="FFFFFF"/>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FFFFFF"/>
      </ns0:tcPr>
    </ns0:tblStylePr>
    <ns0:tblStylePr ns0:type="nwCell">
      <ns0:tblPr/>
      <ns0:tcPr>
        <ns0:shd ns0:val="clear" ns0:color="auto" ns0:fill="FFFFFF"/>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FFFFFF"/>
      </ns0:tcPr>
    </ns0:tblStylePr>
    <ns0:tblStylePr ns0:type="nwCell">
      <ns0:tblPr/>
      <ns0:tcPr>
        <ns0:shd ns0:val="clear" ns0:color="auto" ns0:fill="FFFFFF"/>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FFFFFF"/>
      </ns0:tcPr>
    </ns0:tblStylePr>
    <ns0:tblStylePr ns0:type="nwCell">
      <ns0:tblPr/>
      <ns0:tcPr>
        <ns0:shd ns0:val="clear" ns0:color="auto" ns0:fill="FFFFFF"/>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FFFFF"/>
      </ns0:tcPr>
    </ns0:tblStylePr>
    <ns0:tblStylePr ns0:type="nwCell">
      <ns0:tblPr/>
      <ns0:tcPr>
        <ns0:shd ns0:val="clear" ns0:color="auto" ns0:fill="FFFFFF"/>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DarkList">
    <ns0:name ns0:val="Dark List"/>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1">
    <ns0:name ns0:val="Dark List Accent 1"/>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2">
    <ns0:name ns0:val="Dark List Accent 2"/>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3">
    <ns0:name ns0:val="Dark List Accent 3"/>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4">
    <ns0:name ns0:val="Dark List Accent 4"/>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5">
    <ns0:name ns0:val="Dark List Accent 5"/>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6">
    <ns0:name ns0:val="Dark List Accent 6"/>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000000" ns0:themeColor="tex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C4C74" ns0:themeColor="accen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772C2A" ns0:themeColor="accent2"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5E7530" ns0:themeColor="accent3"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4C3B62" ns0:themeColor="accent4"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76A7C" ns0:themeColor="accent5"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B65608" ns0:themeColor="accent6"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List">
    <ns0:name ns0:val="Colorful List"/>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Grid">
    <ns0:name ns0:val="Colorful Grid"/>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000000"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000000"/>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000000"/>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000000"/>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000000"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000000"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000000"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000000"/>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000000"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000000"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000000"/>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000000"/>
    </ns0:rPr>
  </ns0:style>
  <ns0:style ns0:type="paragraph" ns0:styleId="Title">
    <ns0:name ns0:val="Title"/>
    <ns0:basedOn ns0:val="Normal"/>
    <ns0:next ns0:val="Normal"/>
    <ns0:link ns0:val="TitleChar"/>
    <ns0:uiPriority ns0:val="10"/>
    <ns0:qFormat/>
    <ns0:rsid ns0:val="00FC693F"/>
    <ns0:pPr>
      <ns0:spacing ns0:after="300" ns0:line="240" ns0:lineRule="auto"/>
      <ns0:contextualSpacing/>
    </ns0:pPr>
    <ns0:rPr>
      <ns0:rFonts ns0:asciiTheme="majorHAnsi" ns0:eastAsiaTheme="majorEastAsia" ns0:hAnsiTheme="majorHAnsi" ns0:cstheme="majorBidi"/>
      <ns0:color ns0:val="000000"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000000"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000000"/>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000000"/>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rPr>
  </ns0:style>
  <ns0:style ns0:type="character" ns0:customStyle="1" ns0:styleId="QuoteChar">
    <ns0:name ns0:val="Quote Char"/>
    <ns0:basedOn ns0:val="DefaultParagraphFont"/>
    <ns0:link ns0:val="Quote"/>
    <ns0:uiPriority ns0:val="29"/>
    <ns0:rsid ns0:val="00FC693F"/>
    <ns0:rPr>
      <ns0:i/>
      <ns0:iCs/>
      <ns0:color ns0:val="000000"/>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000000"/>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000000"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000000"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000000"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000000"/>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000000"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000000"/>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000000"/>
    </ns0:rPr>
  </ns0:style>
  <ns0:style ns0:type="character" ns0:customStyle="1" ns0:styleId="IntenseQuoteChar">
    <ns0:name ns0:val="Intense Quote Char"/>
    <ns0:basedOn ns0:val="DefaultParagraphFont"/>
    <ns0:link ns0:val="IntenseQuote"/>
    <ns0:uiPriority ns0:val="30"/>
    <ns0:rsid ns0:val="00FC693F"/>
    <ns0:rPr>
      <ns0:b/>
      <ns0:bCs/>
      <ns0:i/>
      <ns0:iCs/>
      <ns0:color ns0:val="000000"/>
    </ns0:rPr>
  </ns0:style>
  <ns0:style ns0:type="character" ns0:styleId="SubtleEmphasis">
    <ns0:name ns0:val="Subtle Emphasis"/>
    <ns0:basedOn ns0:val="DefaultParagraphFont"/>
    <ns0:uiPriority ns0:val="19"/>
    <ns0:qFormat/>
    <ns0:rsid ns0:val="00FC693F"/>
    <ns0:rPr>
      <ns0:i/>
      <ns0:iCs/>
      <ns0:color ns0:val="000000" ns0:themeTint="7F"/>
    </ns0:rPr>
  </ns0:style>
  <ns0:style ns0:type="character" ns0:styleId="IntenseEmphasis">
    <ns0:name ns0:val="Intense Emphasis"/>
    <ns0:basedOn ns0:val="DefaultParagraphFont"/>
    <ns0:uiPriority ns0:val="21"/>
    <ns0:qFormat/>
    <ns0:rsid ns0:val="00FC693F"/>
    <ns0:rPr>
      <ns0:b/>
      <ns0:bCs/>
      <ns0:i/>
      <ns0:iCs/>
      <ns0:color ns0:val="000000"/>
    </ns0:rPr>
  </ns0:style>
  <ns0:style ns0:type="character" ns0:styleId="SubtleReference">
    <ns0:name ns0:val="Subtle Reference"/>
    <ns0:basedOn ns0:val="DefaultParagraphFont"/>
    <ns0:uiPriority ns0:val="31"/>
    <ns0:qFormat/>
    <ns0:rsid ns0:val="00FC693F"/>
    <ns0:rPr>
      <ns0:smallCaps/>
      <ns0:color ns0:val="000000"/>
      <ns0:u ns0:val="single"/>
    </ns0:rPr>
  </ns0:style>
  <ns0:style ns0:type="character" ns0:styleId="IntenseReference">
    <ns0:name ns0:val="Intense Reference"/>
    <ns0:basedOn ns0:val="DefaultParagraphFont"/>
    <ns0:uiPriority ns0:val="32"/>
    <ns0:qFormat/>
    <ns0:rsid ns0:val="00FC693F"/>
    <ns0:rPr>
      <ns0:b/>
      <ns0:bCs/>
      <ns0:smallCaps/>
      <ns0:color ns0:val="000000"/>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000000"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left ns0:val="nil"/>
          <ns0:right ns0:val="nil"/>
          <ns0:insideH ns0:val="nil"/>
          <ns0:insideV ns0:val="nil"/>
        </ns0:tcBorders>
        <ns0:shd ns0:val="clear" ns0:color="auto" ns0:fill="FFFFF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shd ns0:val="clear" ns0:color="auto" ns0:fill="FFFFFF"/>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FFFFF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FFFFF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FFFFF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FFFFF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FFFFF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FFFFF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FFFFF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FFFFF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FFFFF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FFFFF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FFFFF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FFFFF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FFFF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FFFF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FFFFF"/>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tcBorders>
          <ns0:insideH ns0:val="nil"/>
          <ns0:insideV ns0:val="nil"/>
        </ns0:tcBorders>
        <ns0:shd ns0:val="clear" ns0:color="auto" ns0:fill="FFFFF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000000"/>
      </ns0:rPr>
      <ns0:tblPr/>
      <ns0:tcPr>
        <ns0:tcBorders>
          <ns0:top ns0:val="single" ns0:sz="18" ns0:space="0" ns0:color="auto"/>
          <ns0:left ns0:val="nil"/>
          <ns0:bottom ns0:val="single" ns0:sz="18" ns0:space="0" ns0:color="auto"/>
          <ns0:right ns0:val="nil"/>
          <ns0:insideH ns0:val="nil"/>
          <ns0:insideV ns0:val="nil"/>
        </ns0:tcBorders>
        <ns0:shd ns0:val="clear" ns0:color="auto" ns0:fill="FFFFFF"/>
      </ns0:tcPr>
    </ns0:tblStylePr>
    <ns0:tblStylePr ns0:type="lastRow">
      <ns0:pPr>
        <ns0:spacing ns0:before="0" ns0:after="0" ns0:line="240" ns0:lineRule="auto"/>
      </ns0:pPr>
      <ns0:rPr>
        <ns0:color ns0:val="000000"/>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single" ns0:sz="18" ns0:space="0" ns0:color="auto"/>
          <ns0:right ns0:val="nil"/>
          <ns0:insideH ns0:val="nil"/>
          <ns0:insideV ns0:val="nil"/>
        </ns0:tcBorders>
        <ns0:shd ns0:val="clear" ns0:color="auto" ns0:fill="FFFFFF"/>
      </ns0:tcPr>
    </ns0:tblStylePr>
    <ns0:tblStylePr ns0:type="lastCol">
      <ns0:rPr>
        <ns0:b/>
        <ns0:bCs/>
        <ns0:color ns0:val="000000"/>
      </ns0:rPr>
      <ns0:tblPr/>
      <ns0:tcPr>
        <ns0:tcBorders>
          <ns0:left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shd ns0:val="clear" ns0:color="auto" ns0:fill="FFFFFF"/>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000000"/>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000000"/>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000000"/>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000000"/>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000000"/>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000000"/>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000000"/>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000000"/>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cPr>
    </ns0:tblStylePr>
    <ns0:tblStylePr ns0:type="band1Vert">
      <ns0:tblPr/>
      <ns0:tcPr>
        <ns0:tcBorders>
          <ns0:left ns0:val="nil"/>
          <ns0:right ns0:val="nil"/>
          <ns0:insideH ns0:val="nil"/>
          <ns0:insideV ns0:val="nil"/>
        </ns0:tcBorders>
        <ns0:shd ns0:val="clear" ns0:color="auto" ns0:fill="FFFFFF"/>
      </ns0:tcPr>
    </ns0:tblStylePr>
    <ns0:tblStylePr ns0:type="band1Horz">
      <ns0:tblPr/>
      <ns0:tcPr>
        <ns0:tcBorders>
          <ns0:top ns0:val="nil"/>
          <ns0:bottom ns0:val="nil"/>
          <ns0:insideH ns0:val="nil"/>
          <ns0:insideV ns0:val="nil"/>
        </ns0:tcBorders>
        <ns0:shd ns0:val="clear" ns0:color="auto" ns0:fill="FFFFFF"/>
      </ns0:tcPr>
    </ns0:tblStylePr>
    <ns0:tblStylePr ns0:type="nwCell">
      <ns0:tblPr/>
      <ns0:tcPr>
        <ns0:shd ns0:val="clear" ns0:color="auto" ns0:fill="FFFFFF"/>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FFFFFF"/>
      </ns0:tcPr>
    </ns0:tblStylePr>
    <ns0:tblStylePr ns0:type="nwCell">
      <ns0:tblPr/>
      <ns0:tcPr>
        <ns0:shd ns0:val="clear" ns0:color="auto" ns0:fill="FFFFFF"/>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FFFFFF"/>
      </ns0:tcPr>
    </ns0:tblStylePr>
    <ns0:tblStylePr ns0:type="nwCell">
      <ns0:tblPr/>
      <ns0:tcPr>
        <ns0:shd ns0:val="clear" ns0:color="auto" ns0:fill="FFFFFF"/>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FFFFFF"/>
      </ns0:tcPr>
    </ns0:tblStylePr>
    <ns0:tblStylePr ns0:type="nwCell">
      <ns0:tblPr/>
      <ns0:tcPr>
        <ns0:shd ns0:val="clear" ns0:color="auto" ns0:fill="FFFFFF"/>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FFFFFF"/>
      </ns0:tcPr>
    </ns0:tblStylePr>
    <ns0:tblStylePr ns0:type="nwCell">
      <ns0:tblPr/>
      <ns0:tcPr>
        <ns0:shd ns0:val="clear" ns0:color="auto" ns0:fill="FFFFFF"/>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FFFFFF"/>
      </ns0:tcPr>
    </ns0:tblStylePr>
    <ns0:tblStylePr ns0:type="nwCell">
      <ns0:tblPr/>
      <ns0:tcPr>
        <ns0:shd ns0:val="clear" ns0:color="auto" ns0:fill="FFFFFF"/>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FFFFFF"/>
      </ns0:tcPr>
    </ns0:tblStylePr>
    <ns0:tblStylePr ns0:type="nwCell">
      <ns0:tblPr/>
      <ns0:tcPr>
        <ns0:shd ns0:val="clear" ns0:color="auto" ns0:fill="FFFFFF"/>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shd ns0:val="clear" ns0:color="auto" ns0:fill="FFFFFF"/>
      </ns0:tcPr>
    </ns0:tblStylePr>
    <ns0:tblStylePr ns0:type="lastRow">
      <ns0:rPr>
        <ns0:b/>
        <ns0:bCs/>
        <ns0:color ns0:val="000000"/>
      </ns0:rPr>
      <ns0:tblPr/>
      <ns0:tcPr>
        <ns0:tcBorders>
          <ns0:top ns0:val="single" ns0:sz="12" ns0:space="0" ns0:color="000000" ns0:themeColor="text1"/>
          <ns0:left ns0:val="nil"/>
          <ns0:bottom ns0:val="nil"/>
          <ns0:right ns0:val="nil"/>
          <ns0:insideH ns0:val="nil"/>
          <ns0:insideV ns0:val="nil"/>
        </ns0:tcBorders>
        <ns0:shd ns0:val="clear" ns0:color="auto" ns0:fill="FFFFFF"/>
      </ns0:tcPr>
    </ns0:tblStylePr>
    <ns0:tblStylePr ns0:type="firstCol">
      <ns0:rPr>
        <ns0:b/>
        <ns0:bCs/>
        <ns0:color ns0:val="000000"/>
      </ns0:rPr>
      <ns0:tblPr/>
      <ns0:tcPr>
        <ns0:tcBorders>
          <ns0:top ns0:val="nil"/>
          <ns0:left ns0:val="nil"/>
          <ns0:bottom ns0:val="nil"/>
          <ns0:right ns0:val="nil"/>
          <ns0:insideH ns0:val="nil"/>
          <ns0:insideV ns0:val="nil"/>
        </ns0:tcBorders>
        <ns0:shd ns0:val="clear" ns0:color="auto" ns0:fill="FFFFFF"/>
      </ns0:tcPr>
    </ns0:tblStylePr>
    <ns0:tblStylePr ns0:type="lastCol">
      <ns0:rPr>
        <ns0:b ns0:val="0"/>
        <ns0:bCs ns0:val="0"/>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FFFFF"/>
      </ns0:tcPr>
    </ns0:tblStylePr>
    <ns0:tblStylePr ns0:type="nwCell">
      <ns0:tblPr/>
      <ns0:tcPr>
        <ns0:shd ns0:val="clear" ns0:color="auto" ns0:fill="FFFFFF"/>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i ns0:val="0"/>
        <ns0:iCs ns0:val="0"/>
        <ns0:color ns0:val="000000"/>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lastRow">
      <ns0:rPr>
        <ns0:b/>
        <ns0:bCs/>
        <ns0:i ns0:val="0"/>
        <ns0:iCs ns0:val="0"/>
        <ns0:color ns0:val="000000"/>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FFFFF"/>
      </ns0:tcPr>
    </ns0:tblStylePr>
    <ns0:tblStylePr ns0:type="firstCol">
      <ns0:rPr>
        <ns0:b/>
        <ns0:bCs/>
        <ns0:i ns0:val="0"/>
        <ns0:iCs ns0:val="0"/>
        <ns0:color ns0:val="000000"/>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FFFFF"/>
      </ns0:tcPr>
    </ns0:tblStylePr>
    <ns0:tblStylePr ns0:type="lastCol">
      <ns0:rPr>
        <ns0:b/>
        <ns0:bCs/>
        <ns0:i ns0:val="0"/>
        <ns0:iCs ns0:val="0"/>
        <ns0:color ns0:val="000000"/>
      </ns0:rPr>
      <ns0:tblPr/>
      <ns0:tcPr>
        <ns0:tcBorders>
          <ns0:top ns0:val="nil"/>
          <ns0:left ns0:val="single" ns0:sz="24"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FFFF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FFFFF"/>
      </ns0:tcPr>
    </ns0:tblStylePr>
  </ns0:style>
  <ns0:style ns0:type="table" ns0:styleId="DarkList">
    <ns0:name ns0:val="Dark List"/>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1">
    <ns0:name ns0:val="Dark List Accent 1"/>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2">
    <ns0:name ns0:val="Dark List Accent 2"/>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3">
    <ns0:name ns0:val="Dark List Accent 3"/>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4">
    <ns0:name ns0:val="Dark List Accent 4"/>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5">
    <ns0:name ns0:val="Dark List Accent 5"/>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DarkList-Accent6">
    <ns0:name ns0:val="Dark List Accent 6"/>
    <ns0:basedOn ns0:val="TableNormal"/>
    <ns0:uiPriority ns0:val="70"/>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FFFFFF"/>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FFFFF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FFFFF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FFFFFF"/>
      </ns0:tc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tcBorders>
          <ns0:top ns0:val="nil"/>
          <ns0:left ns0:val="nil"/>
          <ns0:bottom ns0:val="nil"/>
          <ns0:right ns0:val="nil"/>
          <ns0:insideH ns0:val="nil"/>
          <ns0:insideV ns0:val="nil"/>
        </ns0:tcBorders>
        <ns0:shd ns0:val="clear" ns0:color="auto" ns0:fill="FFFFF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000000" ns0:themeColor="tex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C4C74" ns0:themeColor="accent1"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772C2A" ns0:themeColor="accent2"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5E7530" ns0:themeColor="accent3"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4C3B62" ns0:themeColor="accent4"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276A7C" ns0:themeColor="accent5"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cPr>
    </ns0:tblStylePr>
    <ns0:tblStylePr ns0:type="lastRow">
      <ns0:rPr>
        <ns0:b/>
        <ns0:bCs/>
        <ns0:color ns0:val="000000"/>
      </ns0:rPr>
      <ns0:tblPr/>
      <ns0:tcPr>
        <ns0:tcBorders>
          <ns0:top ns0:val="single" ns0:sz="6" ns0:space="0" ns0:color="FFFFFF" ns0:themeColor="background1"/>
        </ns0:tcBorders>
        <ns0:shd ns0:val="clear" ns0:color="auto" ns0:fill="FFFFFF"/>
      </ns0:tcPr>
    </ns0:tblStylePr>
    <ns0:tblStylePr ns0:type="firstCol">
      <ns0:rPr>
        <ns0:color ns0:val="000000"/>
      </ns0:rPr>
      <ns0:tblPr/>
      <ns0:tcPr>
        <ns0:tcBorders>
          <ns0:top ns0:val="nil"/>
          <ns0:left ns0:val="nil"/>
          <ns0:bottom ns0:val="nil"/>
          <ns0:right ns0:val="nil"/>
          <ns0:insideH ns0:val="single" ns0:sz="4" ns0:space="0" ns0:color="B65608" ns0:themeColor="accent6" ns0:themeShade="99"/>
          <ns0:insideV ns0:val="nil"/>
        </ns0:tcBorders>
        <ns0:shd ns0:val="clear" ns0:color="auto" ns0:fill="FFFFFF"/>
      </ns0:tcPr>
    </ns0:tblStylePr>
    <ns0:tblStylePr ns0:type="lastCol">
      <ns0:rPr>
        <ns0:color ns0:val="000000"/>
      </ns0:rPr>
      <ns0:tblPr/>
      <ns0:tcPr>
        <ns0:tcBorders>
          <ns0:top ns0:val="nil"/>
          <ns0:left ns0:val="nil"/>
          <ns0:bottom ns0:val="nil"/>
          <ns0:right ns0:val="nil"/>
          <ns0:insideH ns0:val="nil"/>
          <ns0:insideV ns0:val="nil"/>
        </ns0:tcBorders>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tblStylePr ns0:type="neCell">
      <ns0:rPr>
        <ns0:color ns0:val="000000"/>
      </ns0:rPr>
    </ns0:tblStylePr>
    <ns0:tblStylePr ns0:type="nwCell">
      <ns0:rPr>
        <ns0:color ns0:val="000000"/>
      </ns0:rPr>
    </ns0:tblStylePr>
  </ns0:style>
  <ns0:style ns0:type="table" ns0:styleId="ColorfulList">
    <ns0:name ns0:val="Colorful List"/>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FFFFF"/>
    </ns0:tcPr>
    <ns0:tblStylePr ns0:type="firstRow">
      <ns0:rPr>
        <ns0:b/>
        <ns0:bCs/>
        <ns0:color ns0:val="000000"/>
      </ns0:rPr>
      <ns0:tblPr/>
      <ns0:tcPr>
        <ns0:tcBorders>
          <ns0:bottom ns0:val="single" ns0:sz="12" ns0:space="0" ns0:color="FFFFFF" ns0:themeColor="background1"/>
        </ns0:tcBorders>
        <ns0:shd ns0:val="clear" ns0:color="auto" ns0:fill="FFFFFF"/>
      </ns0:tcPr>
    </ns0:tblStylePr>
    <ns0:tblStylePr ns0:type="lastRow">
      <ns0:rPr>
        <ns0:b/>
        <ns0:bCs/>
        <ns0:color ns0:val="000000" ns0:themeShade="CC"/>
      </ns0:rPr>
      <ns0:tblPr/>
      <ns0:tcPr>
        <ns0:tcBorders>
          <ns0:top ns0:val="single" ns0:sz="12" ns0:space="0" ns0:color="000000" ns0:themeColor="text1"/>
        </ns0:tcBorders>
        <ns0:shd ns0:val="clear" ns0:color="auto" ns0:fill="FFFFFF"/>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FFFFF"/>
      </ns0:tcPr>
    </ns0:tblStylePr>
    <ns0:tblStylePr ns0:type="band1Horz">
      <ns0:tblPr/>
      <ns0:tcPr>
        <ns0:shd ns0:val="clear" ns0:color="auto" ns0:fill="FFFFFF"/>
      </ns0:tcPr>
    </ns0:tblStylePr>
  </ns0:style>
  <ns0:style ns0:type="table" ns0:styleId="ColorfulGrid">
    <ns0:name ns0:val="Colorful Grid"/>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FFFFF"/>
    </ns0:tcPr>
    <ns0:tblStylePr ns0:type="firstRow">
      <ns0:rPr>
        <ns0:b/>
        <ns0:bCs/>
      </ns0:rPr>
      <ns0:tblPr/>
      <ns0:tcPr>
        <ns0:shd ns0:val="clear" ns0:color="auto" ns0:fill="FFFFFF"/>
      </ns0:tcPr>
    </ns0:tblStylePr>
    <ns0:tblStylePr ns0:type="lastRow">
      <ns0:rPr>
        <ns0:b/>
        <ns0:bCs/>
        <ns0:color ns0:val="000000"/>
      </ns0:rPr>
      <ns0:tblPr/>
      <ns0:tcPr>
        <ns0:shd ns0:val="clear" ns0:color="auto" ns0:fill="FFFFFF"/>
      </ns0:tcPr>
    </ns0:tblStylePr>
    <ns0:tblStylePr ns0:type="firstCol">
      <ns0:rPr>
        <ns0:color ns0:val="000000"/>
      </ns0:rPr>
      <ns0:tblPr/>
      <ns0:tcPr>
        <ns0:shd ns0:val="clear" ns0:color="auto" ns0:fill="FFFFFF"/>
      </ns0:tcPr>
    </ns0:tblStylePr>
    <ns0:tblStylePr ns0:type="lastCol">
      <ns0:rPr>
        <ns0:color ns0:val="000000"/>
      </ns0:rPr>
      <ns0:tblPr/>
      <ns0:tcPr>
        <ns0:shd ns0:val="clear" ns0:color="auto" ns0:fill="FFFFFF"/>
      </ns0:tcPr>
    </ns0:tblStylePr>
    <ns0:tblStylePr ns0:type="band1Vert">
      <ns0:tblPr/>
      <ns0:tcPr>
        <ns0:shd ns0:val="clear" ns0:color="auto" ns0:fill="FFFFFF"/>
      </ns0:tcPr>
    </ns0:tblStylePr>
    <ns0:tblStylePr ns0:type="band1Horz">
      <ns0:tblPr/>
      <ns0:tcPr>
        <ns0:shd ns0:val="clear" ns0:color="auto" ns0:fill="FFFFFF"/>
      </ns0:tcPr>
    </ns0:tblStyle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pd.es/areas-de-actuacion/videovigilancia" TargetMode="External"/><Relationship Id="rId10" Type="http://schemas.openxmlformats.org/officeDocument/2006/relationships/hyperlink" Target="https://www.aepd.es/documento/info-videocamaras-hogar-personas-mayores.pdf" TargetMode="External"/><Relationship Id="rId11" Type="http://schemas.openxmlformats.org/officeDocument/2006/relationships/hyperlink" Target="https://www.edpb.europa.eu/sites/default/files/files/file1/edpb_guidelines_202005_consent_en.pdf" TargetMode="External"/><Relationship Id="rId12" Type="http://schemas.openxmlformats.org/officeDocument/2006/relationships/hyperlink" Target="https://www.aepd.es/" TargetMode="External"/><Relationship Id="rId13" Type="http://schemas.openxmlformats.org/officeDocument/2006/relationships/hyperlink" Target="https://eur-lex.europa.eu/eli/reg/2016/679/oj" TargetMode="External"/><Relationship Id="rId14" Type="http://schemas.openxmlformats.org/officeDocument/2006/relationships/hyperlink" Target="https://www.boe.es/eli/es/lo/2018/12/05/3/con" TargetMode="External"/><Relationship Id="rId15" Type="http://schemas.openxmlformats.org/officeDocument/2006/relationships/hyperlink" Target="https://www.edpb.europa.eu/documents/guideline/guidelines-32019-on-processing-of-personal-data-through-video-devices_en" TargetMode="External"/><Relationship Id="rId16" Type="http://schemas.openxmlformats.org/officeDocument/2006/relationships/hyperlink" Target="https://www.edpb.europa.eu/topics/accountability-and-compliance-tools/data-protection-impact-assessment_en" TargetMode="External"/><Relationship Id="rId17" Type="http://schemas.openxmlformats.org/officeDocument/2006/relationships/hyperlink" Target="https://eur-lex.europa.eu/eli/reg/2017/745/oj" TargetMode="External"/><Relationship Id="rId18" Type="http://schemas.openxmlformats.org/officeDocument/2006/relationships/hyperlink" Target="https://eur-lex.europa.eu/eli/reg/2024/1689/oj" TargetMode="External"/><Relationship Id="rId19" Type="http://schemas.openxmlformats.org/officeDocument/2006/relationships/hyperlink" Target="https://eur-lex.europa.eu/eli/reg/2026/1744/oj" TargetMode="External"/><Relationship Id="rId20" Type="http://schemas.openxmlformats.org/officeDocument/2006/relationships/hyperlink" Target="https://eur-lex.europa.eu/eli/dir/2002/58/oj" TargetMode="External"/><Relationship Id="rId21" Type="http://schemas.openxmlformats.org/officeDocument/2006/relationships/hyperlink" Target="https://www.boe.es/buscar/act.php?id=BOE-A-2007-20555" TargetMode="External"/><Relationship Id="rId22" Type="http://schemas.openxmlformats.org/officeDocument/2006/relationships/hyperlink" Target="https://eur-lex.europa.eu/eli/dir/2019/882/oj" TargetMode="External"/><Relationship Id="rId23" Type="http://schemas.openxmlformats.org/officeDocument/2006/relationships/hyperlink" Target="https://www.boe.es/buscar/act.php?id=BOE-A-2023-11022" TargetMode="External"/><Relationship Id="rId24" Type="http://schemas.openxmlformats.org/officeDocument/2006/relationships/hyperlink" Target="https://eur-lex.europa.eu/eli/reg/2023/2854/oj" TargetMode="External"/><Relationship Id="rId25" Type="http://schemas.openxmlformats.org/officeDocument/2006/relationships/hyperlink" Target="https://eur-lex.europa.eu/eli/reg/2024/2847/oj" TargetMode="External"/><Relationship Id="rId26" Type="http://schemas.openxmlformats.org/officeDocument/2006/relationships/footer" Target="footer1.xml"/><Relationship Id="rId27" Type="http://schemas.openxmlformats.org/officeDocument/2006/relationships/hyperlink" Target="https://eur-lex.europa.eu/eli/reg/2016/679" TargetMode="External"/><Relationship Id="rId28" Type="http://schemas.openxmlformats.org/officeDocument/2006/relationships/hyperlink" Target="https://www.aepd.es/documento/orientaciones-videocamaras-hogar-personas-mayores.pdf" TargetMode="External"/><Relationship Id="rId29" Type="http://schemas.openxmlformats.org/officeDocument/2006/relationships/hyperlink" Target="https://eur-lex.europa.eu/eli/reg/2017/745/oj/eng" TargetMode="External"/><Relationship Id="rId30" Type="http://schemas.openxmlformats.org/officeDocument/2006/relationships/hyperlink" Target="https://eur-lex.europa.eu/legal-content/ES/TXT/?uri=CELEX:32026R1744" TargetMode="External"/><Relationship Id="rId31" Type="http://schemas.openxmlformats.org/officeDocument/2006/relationships/hyperlink" Target="https://www.boe.es/buscar/act.php?id=BOE-A-2002-13758" TargetMode="External"/><Relationship Id="rId32" Type="http://schemas.openxmlformats.org/officeDocument/2006/relationships/hyperlink" Target="https://www.boe.es/eli/es/rdlg/2007/11/16/1/con" TargetMode="External"/><Relationship Id="rId33" Type="http://schemas.openxmlformats.org/officeDocument/2006/relationships/hyperlink" Target="https://eur-lex.europa.eu/eli/dir/2019/882/oj/eng" TargetMode="External"/><Relationship Id="rId34" Type="http://schemas.openxmlformats.org/officeDocument/2006/relationships/hyperlink" Target="https://eur-lex.europa.eu/legal-content/ES/TXT/?uri=CELEX:32023R2854" TargetMode="External"/><Relationship Id="rId35" Type="http://schemas.openxmlformats.org/officeDocument/2006/relationships/hyperlink" Target="https://eur-lex.europa.eu/legal-content/ES/TXT/?uri=CELEX:32024R2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Terms of Use and Privacy Notice</dc:title>
  <dc:subject>General terms of use and common privacy notice for the ONE system</dc:subject>
  <dc:creator/>
  <cp:keywords>ONE, privacy, GDPR, terms of use</cp:keywords>
  <dc:description/>
  <cp:lastModifiedBy/>
  <cp:revision>1</cp:revision>
  <dcterms:created xsi:type="dcterms:W3CDTF">2013-12-23T23:15:00Z</dcterms:created>
  <dcterms:modified xsi:type="dcterms:W3CDTF">2013-12-23T23:15:00Z</dcterms:modified>
  <cp:category/>
</cp:coreProperties>
</file>