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Términos de uso y aviso de privacidad de ONE</w:t>
      </w:r>
    </w:p>
    <w:p>
      <w:pPr>
        <w:jc w:val="both"/>
      </w:pPr>
      <w:r>
        <w:t>Actualizado el 23 de septiembre de 2026</w:t>
      </w:r>
    </w:p>
    <w:p>
      <w:pPr>
        <w:jc w:val="both"/>
      </w:pPr>
      <w:r>
        <w:t>Objeto y alcance. Este documento reúne los términos generales de uso y el aviso común de privacidad de ONE para las funciones descritas en él. Se aplica junto con la información legal y la ficha de privacidad de cada instalación y, cuando corresponda, con el contrato de la organización que opera el servicio. La ficha de cada instalación forma parte de la información que debe recibir la persona antes de que se traten sus datos.</w:t>
      </w:r>
    </w:p>
    <w:p>
      <w:pPr>
        <w:jc w:val="both"/>
      </w:pPr>
      <w:r>
        <w:t>Condición de activación y datos reales. Antes de habilitar un despliegue con datos reales, la entidad responsable debe identificar y comunicar su identidad y contacto, el contacto del delegado de protección de datos cuando sea obligatorio, cada finalidad y base jurídica de los artículos 6 y 9 del RGPD, proveedores y destinatarios, ubicaciones y transferencias, plazos por sistema y copia, y el canal para ejercer derechos. También debe aprobar la evaluación de impacto cuando proceda, el proceso de información y representación de la persona cuidada, las medidas de seguridad y los contratos con encargados, y probar el acceso, exportación, limitación, retirada y borrado de extremo a extremo. Mientras estos requisitos no estén cumplidos y documentados, el uso queda limitado a datos sintéticos de prueba; este texto no declara autorizado un tratamiento real.</w:t>
      </w:r>
    </w:p>
    <w:p>
      <w:pPr>
        <w:pStyle w:val="Heading1"/>
      </w:pPr>
      <w:r>
        <w:rPr>
          <w:rFonts w:ascii="Arial" w:hAnsi="Arial" w:eastAsia="Arial"/>
          <w:b/>
          <w:color w:val="000000"/>
          <w:sz w:val="30"/>
        </w:rPr>
        <w:t>Parte I: aviso de privacidad</w:t>
      </w:r>
    </w:p>
    <w:p>
      <w:pPr>
        <w:pStyle w:val="Heading2"/>
      </w:pPr>
      <w:r>
        <w:rPr>
          <w:rFonts w:ascii="Arial" w:hAnsi="Arial" w:eastAsia="Arial"/>
          <w:b/>
          <w:color w:val="000000"/>
          <w:sz w:val="24"/>
        </w:rPr>
        <w:t>1. Quién trata tus datos</w:t>
      </w:r>
    </w:p>
    <w:p>
      <w:pPr>
        <w:jc w:val="both"/>
      </w:pPr>
      <w:r>
        <w:t>El responsable del tratamiento es la persona u organización que decide los fines y medios esenciales de cada uso de ONE. Su nombre o razón social, domicilio y contacto directo y efectivo deben aparecer en la información legal accesible desde la app o web y en la ficha de privacidad que se entrega antes de recoger datos. Cuando una residencia, empresa o entidad asistencial configura ONE para residentes, pacientes o trabajadores, esa organización puede ser responsable y el proveedor de ONE actuar como encargado. El reparto depende de quién decide realmente cada finalidad y debe reflejarse en el contrato correspondiente.</w:t>
      </w:r>
    </w:p>
    <w:p>
      <w:pPr>
        <w:jc w:val="both"/>
      </w:pPr>
      <w:r>
        <w:t>El proveedor de la aplicación puede actuar como responsable, corresponsable o encargado según quién determine realmente los fines y medios esenciales. La ficha de cada instalación y el contrato identifican a las entidades y el papel que desempeña cada una. No debe asumirse que la persona administradora de una familia, el proveedor técnico o el centro es siempre el responsable por el mero hecho de gestionar una cuenta.</w:t>
      </w:r>
    </w:p>
    <w:p>
      <w:pPr>
        <w:jc w:val="both"/>
      </w:pPr>
      <w:r>
        <w:rPr>
          <w:rFonts w:ascii="Arial" w:hAnsi="Arial" w:eastAsia="Arial"/>
          <w:b w:val="0"/>
          <w:color w:val="000000"/>
          <w:sz w:val="20"/>
        </w:rPr>
        <w:t>Si dos entidades determinan conjuntamente una finalidad y los medios esenciales, identificarán la corresponsabilidad y pondrán a disposición de las personas la esencia del acuerdo del art. 26 RGPD, indicando qué entidad recibe solicitudes. Si el proveedor actúa como encargado, tratará los datos por instrucciones documentadas, asistirá al responsable en derechos, seguridad, EIPD e incidentes y devolverá o borrará los datos al finalizar el contrato, salvo deber legal de conservación.</w:t>
      </w:r>
    </w:p>
    <w:p>
      <w:pPr>
        <w:jc w:val="both"/>
      </w:pPr>
      <w:r>
        <w:rPr>
          <w:rFonts w:ascii="Arial" w:hAnsi="Arial" w:eastAsia="Arial"/>
          <w:b w:val="0"/>
          <w:color w:val="000000"/>
          <w:sz w:val="20"/>
        </w:rPr>
        <w:t>Cuando se haya designado un Delegado de Protección de Datos, sus datos de contacto se facilitan junto con la información legal de la instalación.</w:t>
      </w:r>
    </w:p>
    <w:p>
      <w:pPr>
        <w:pStyle w:val="Heading2"/>
      </w:pPr>
      <w:r>
        <w:rPr>
          <w:rFonts w:ascii="Arial" w:hAnsi="Arial" w:eastAsia="Arial"/>
          <w:b/>
          <w:color w:val="000000"/>
          <w:sz w:val="24"/>
        </w:rPr>
        <w:t>2. A quién se aplica</w:t>
      </w:r>
    </w:p>
    <w:p>
      <w:pPr>
        <w:jc w:val="both"/>
      </w:pPr>
      <w:r>
        <w:rPr>
          <w:rFonts w:ascii="Arial" w:hAnsi="Arial" w:eastAsia="Arial"/>
          <w:b w:val="0"/>
          <w:color w:val="000000"/>
          <w:sz w:val="20"/>
        </w:rPr>
        <w:t>Este aviso informa a:</w:t>
      </w:r>
    </w:p>
    <w:p>
      <w:pPr>
        <w:pStyle w:val="ListBullet"/>
        <w:jc w:val="both"/>
      </w:pPr>
      <w:r>
        <w:rPr>
          <w:rFonts w:ascii="Arial" w:hAnsi="Arial" w:eastAsia="Arial"/>
          <w:b w:val="0"/>
          <w:color w:val="000000"/>
          <w:sz w:val="20"/>
        </w:rPr>
        <w:t>la persona que recibe el apoyo y a cuyo nombre se crea un perfil;</w:t>
      </w:r>
    </w:p>
    <w:p>
      <w:pPr>
        <w:pStyle w:val="ListBullet"/>
        <w:jc w:val="both"/>
      </w:pPr>
      <w:r>
        <w:rPr>
          <w:rFonts w:ascii="Arial" w:hAnsi="Arial" w:eastAsia="Arial"/>
          <w:b w:val="0"/>
          <w:color w:val="000000"/>
          <w:sz w:val="20"/>
        </w:rPr>
        <w:t>familiares, cuidadores, profesionales y administradores con una cuenta;</w:t>
      </w:r>
    </w:p>
    <w:p>
      <w:pPr>
        <w:pStyle w:val="ListBullet"/>
        <w:jc w:val="both"/>
      </w:pPr>
      <w:r>
        <w:rPr>
          <w:rFonts w:ascii="Arial" w:hAnsi="Arial" w:eastAsia="Arial"/>
          <w:b w:val="0"/>
          <w:color w:val="000000"/>
          <w:sz w:val="20"/>
        </w:rPr>
        <w:t>la persona que usa un teléfono como dispositivo de cámara o seguimiento;</w:t>
      </w:r>
    </w:p>
    <w:p>
      <w:pPr>
        <w:pStyle w:val="ListBullet"/>
        <w:jc w:val="both"/>
      </w:pPr>
      <w:r>
        <w:rPr>
          <w:rFonts w:ascii="Arial" w:hAnsi="Arial" w:eastAsia="Arial"/>
          <w:b w:val="0"/>
          <w:color w:val="000000"/>
          <w:sz w:val="20"/>
        </w:rPr>
        <w:t>visitantes, convivientes, personal de cuidados y otras personas que puedan aparecer o escucharse incidentalmente;</w:t>
      </w:r>
    </w:p>
    <w:p>
      <w:pPr>
        <w:pStyle w:val="ListBullet"/>
        <w:jc w:val="both"/>
      </w:pPr>
      <w:r>
        <w:rPr>
          <w:rFonts w:ascii="Arial" w:hAnsi="Arial" w:eastAsia="Arial"/>
          <w:b w:val="0"/>
          <w:color w:val="000000"/>
          <w:sz w:val="20"/>
        </w:rPr>
        <w:t>cualquier persona cuyos datos se introduzcan en medicación, invitaciones, mensajes, notas, alertas o solicitudes.</w:t>
      </w:r>
    </w:p>
    <w:p>
      <w:pPr>
        <w:jc w:val="both"/>
      </w:pPr>
      <w:r>
        <w:rPr>
          <w:rFonts w:ascii="Arial" w:hAnsi="Arial" w:eastAsia="Arial"/>
          <w:b w:val="0"/>
          <w:color w:val="000000"/>
          <w:sz w:val="20"/>
        </w:rPr>
        <w:t xml:space="preserve">El uso exclusivamente personal o doméstico de una persona física puede quedar fuera del ámbito del RGPD en circunstancias limitadas. No se debe dar por supuesta esa excepción cuando existe un servicio prestado por una organización, captación habitual de trabajadores, exposición de espacios comunes o públicos, acceso remoto continuado o gestión por un tercero. La propia instalación de cámaras por un proveedor no traslada automáticamente la responsabilidad. Para España, se tendrá en cuenta la guía de la AEPD sobre </w:t>
      </w:r>
      <w:hyperlink r:id="rId9">
        <w:r>
          <w:rPr>
            <w:rFonts w:ascii="Arial" w:hAnsi="Arial"/>
            <w:color w:val="000000"/>
            <w:sz w:val="20"/>
          </w:rPr>
          <w:t>videovigilancia</w:t>
        </w:r>
      </w:hyperlink>
      <w:r>
        <w:rPr>
          <w:rFonts w:ascii="Arial" w:hAnsi="Arial" w:eastAsia="Arial"/>
          <w:b w:val="0"/>
          <w:color w:val="000000"/>
          <w:sz w:val="20"/>
        </w:rPr>
        <w:t xml:space="preserve"> y sus </w:t>
      </w:r>
      <w:hyperlink r:id="rId10">
        <w:r>
          <w:rPr>
            <w:rFonts w:ascii="Arial" w:hAnsi="Arial"/>
            <w:color w:val="000000"/>
            <w:sz w:val="20"/>
          </w:rPr>
          <w:t>orientaciones sobre cámaras en hogares con personas mayores y personal de cuidados</w:t>
        </w:r>
      </w:hyperlink>
      <w:r>
        <w:rPr>
          <w:rFonts w:ascii="Arial" w:hAnsi="Arial" w:eastAsia="Arial"/>
          <w:b w:val="0"/>
          <w:color w:val="000000"/>
          <w:sz w:val="20"/>
        </w:rPr>
        <w:t>.</w:t>
      </w:r>
    </w:p>
    <w:p>
      <w:pPr>
        <w:pStyle w:val="Heading2"/>
      </w:pPr>
      <w:r>
        <w:rPr>
          <w:rFonts w:ascii="Arial" w:hAnsi="Arial" w:eastAsia="Arial"/>
          <w:b/>
          <w:color w:val="000000"/>
          <w:sz w:val="24"/>
        </w:rPr>
        <w:t>3. Qué es ONE y qué límites tiene</w:t>
      </w:r>
    </w:p>
    <w:p>
      <w:pPr>
        <w:jc w:val="both"/>
      </w:pPr>
      <w:r>
        <w:rPr>
          <w:rFonts w:ascii="Arial" w:hAnsi="Arial" w:eastAsia="Arial"/>
          <w:b w:val="0"/>
          <w:color w:val="000000"/>
          <w:sz w:val="20"/>
        </w:rPr>
        <w:t>ONE reúne aplicaciones y servicios para organizar información de cuidado en el hogar o en un entorno asistencial. Según la configuración, puede incluir cuentas y familiares, recordatorios de medicación introducidos por personas, check-ins, cámaras en directo, procesamiento de imágenes, mapas interiores, eventos de seguridad, reconocimiento de una persona previamente inscrita, ubicación exterior, alertas por zonas y resúmenes asistidos por modelos de lenguaje.</w:t>
      </w:r>
    </w:p>
    <w:p>
      <w:pPr>
        <w:jc w:val="both"/>
      </w:pPr>
      <w:r>
        <w:rPr>
          <w:rFonts w:ascii="Arial" w:hAnsi="Arial" w:eastAsia="Arial"/>
          <w:b w:val="0"/>
          <w:color w:val="000000"/>
          <w:sz w:val="20"/>
        </w:rPr>
        <w:t>ONE puede generar observaciones aproximadas o señales que requieren revisión humana. La detección de caídas es heurística y puede producir falsos positivos o no detectar una caída. La localización de objetos y personas depende de cámaras, iluminación, cobertura, calibración y datos disponibles. Un registro de “tomada” de medicación es una confirmación introducida por una persona; no demuestra que el medicamento se haya tomado. Un mensaje, resumen, recordatorio o alerta de ONE no sustituye la atención médica, el criterio de un profesional, una llamada de emergencia ni la compañía de la persona. No se debe usar el sistema como único mecanismo de vigilancia, respuesta a emergencias, diagnóstico, tratamiento o decisión de cuidado.</w:t>
      </w:r>
    </w:p>
    <w:p>
      <w:pPr>
        <w:jc w:val="both"/>
      </w:pPr>
      <w:r>
        <w:t>La clasificación regulatoria depende de la finalidad prevista y de las afirmaciones de producto, promoción y contrato. La etiqueta «no es un dispositivo médico» por sí sola no decide si el software queda dentro del Reglamento (UE) 2017/745. La entidad responsable y el fabricante deben evaluar y documentar la clasificación antes de presentar una función como clínica o distribuirla para una finalidad médica.</w:t>
      </w:r>
    </w:p>
    <w:p>
      <w:pPr>
        <w:pStyle w:val="Heading2"/>
      </w:pPr>
      <w:r>
        <w:rPr>
          <w:rFonts w:ascii="Arial" w:hAnsi="Arial" w:eastAsia="Arial"/>
          <w:b/>
          <w:color w:val="000000"/>
          <w:sz w:val="24"/>
        </w:rPr>
        <w:t>4. Qué datos se tratan</w:t>
      </w:r>
    </w:p>
    <w:p>
      <w:pPr>
        <w:jc w:val="both"/>
      </w:pPr>
      <w:r>
        <w:rPr>
          <w:rFonts w:ascii="Arial" w:hAnsi="Arial" w:eastAsia="Arial"/>
          <w:b w:val="0"/>
          <w:color w:val="000000"/>
          <w:sz w:val="20"/>
        </w:rPr>
        <w:t>Solo se activa una categoría cuando la función correspondiente está configurada y en uso. Las categorías que una app o despliegue no utilice deben excluirse de la información que se presenta a sus usuarios.</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Categoría</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Información y gestión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Cuenta y acceso</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Nombre, email opcional en algunos flujos, identificador de cuenta, hogar, rol, códigos de emparejamiento e invitaciones, sesiones</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Crear cuenta, iniciar sesión, emparejar dispositivo y aplicar permisos</w:t>
            </w:r>
          </w:p>
          <w:p>
            <w:pPr>
              <w:spacing w:after="50" w:before="0" w:line="254" w:lineRule="auto"/>
              <w:jc w:val="both"/>
            </w:pPr>
            <w:r>
              <w:rPr>
                <w:b/>
              </w:rPr>
              <w:t>Dónde puede circular / quién puede verla:</w:t>
            </w:r>
            <w:r>
              <w:t xml:space="preserve"> App/web, servicio de ONE y base de datos; cuidadores/administradores ven miembros según función</w:t>
            </w:r>
          </w:p>
          <w:p>
            <w:pPr>
              <w:spacing w:after="50" w:before="0" w:line="254" w:lineRule="auto"/>
              <w:jc w:val="both"/>
            </w:pPr>
            <w:r>
              <w:rPr>
                <w:b/>
              </w:rPr>
              <w:t>Conservación observada y requisito:</w:t>
            </w:r>
            <w:r>
              <w:t xml:space="preserve"> Código de emparejamiento: uso único y vencimiento corto (10 minutos). Sesión: valor predeterminado del servicio ONE de 10.080 minutos (7 días), configurable; el acceso se rechaza una vez vencida, pero no se ha acreditado el borrado periódico de los registros técnicos de sesión. La entidad responsable fija el plazo y comprueba su eliminación.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Consentimientos y controles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Finalidad elegida, versión de aviso, fecha, actor, retirada, pausa</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Activar o detener funciones y mantener evidencia de la decisión</w:t>
            </w:r>
          </w:p>
          <w:p>
            <w:pPr>
              <w:spacing w:after="50" w:before="0" w:line="254" w:lineRule="auto"/>
              <w:jc w:val="both"/>
            </w:pPr>
            <w:r>
              <w:rPr>
                <w:b/>
              </w:rPr>
              <w:t>Dónde puede circular / quién puede verla:</w:t>
            </w:r>
            <w:r>
              <w:t xml:space="preserve"> servicio de ONE/base de datos y panel de privacidad; el administrador del hogar puede ver historial</w:t>
            </w:r>
          </w:p>
          <w:p>
            <w:pPr>
              <w:spacing w:after="50" w:before="0" w:line="254" w:lineRule="auto"/>
              <w:jc w:val="both"/>
            </w:pPr>
            <w:r>
              <w:rPr>
                <w:b/>
              </w:rPr>
              <w:t>Conservación observada y requisito:</w:t>
            </w:r>
            <w:r>
              <w:t xml:space="preserve"> No hay un plazo global documentado para la evidencia de consentimiento. El responsable fija y comunica el plazo mínimo necesario para demostrar la elección y su retirada, restringe el acceso al historial y lo elimina cuando deja de ser necesario, salvo obligación legal concreta.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Datos de cuidado y salud</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Persona cuidada, relación, foco de apoyo, notas/check-ins, síntomas o respuestas que escriba la persona, eventos de posible caída</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Organizar el cuidado y crear resúmenes o señales para revisión</w:t>
            </w:r>
          </w:p>
          <w:p>
            <w:pPr>
              <w:spacing w:after="50" w:before="0" w:line="254" w:lineRule="auto"/>
              <w:jc w:val="both"/>
            </w:pPr>
            <w:r>
              <w:rPr>
                <w:b/>
              </w:rPr>
              <w:t>Dónde puede circular / quién puede verla:</w:t>
            </w:r>
            <w:r>
              <w:t xml:space="preserve"> servicio de ONE, base de datos, app/web y, para una consulta solicitada, el proveedor de IA configurado</w:t>
            </w:r>
          </w:p>
          <w:p>
            <w:pPr>
              <w:spacing w:after="50" w:before="0" w:line="254" w:lineRule="auto"/>
              <w:jc w:val="both"/>
            </w:pPr>
            <w:r>
              <w:rPr>
                <w:b/>
              </w:rPr>
              <w:t>Conservación observada y requisito:</w:t>
            </w:r>
            <w:r>
              <w:t xml:space="preserve"> Los eventos y resúmenes tienen expiración configurada de 30 días en la versión actual. La eliminación física requiere ejecutar el proceso administrativo de retención; no se ha acreditado que se ejecute automáticamente. No está confirmada la eliminación de cada tipo de nota, registro de seguimiento, copia o dato derivado.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Medicación</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Nombre del medicamento, dosis, horarios, instrucciones, asignación, versión del plan, estado, notas y quién registró el estado</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Recordatorios y coordinación administrativa</w:t>
            </w:r>
          </w:p>
          <w:p>
            <w:pPr>
              <w:spacing w:after="50" w:before="0" w:line="254" w:lineRule="auto"/>
              <w:jc w:val="both"/>
            </w:pPr>
            <w:r>
              <w:rPr>
                <w:b/>
              </w:rPr>
              <w:t>Dónde puede circular / quién puede verla:</w:t>
            </w:r>
            <w:r>
              <w:t xml:space="preserve"> Servicio de ONE y dispositivos de las personas autorizadas del hogar; el asistente de IA puede recibir contexto limitado.</w:t>
            </w:r>
          </w:p>
          <w:p>
            <w:pPr>
              <w:spacing w:after="50" w:before="0" w:line="254" w:lineRule="auto"/>
              <w:jc w:val="both"/>
            </w:pPr>
            <w:r>
              <w:rPr>
                <w:b/>
              </w:rPr>
              <w:t>Conservación observada y requisito:</w:t>
            </w:r>
            <w:r>
              <w:t xml:space="preserve"> No se ha verificado una purga automática específica para planes de medicación ni check-ins. Definir plazos por dato, y comprobar borrado en base de datos, dispositivos, proveedores y copias antes de habilitar esta finalidad con datos reales.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Cámara y vídeo en directo</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Vídeo, audio del micrófono durante una sesión LiveKit, fotogramas de muestreo</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Ver una señal de cámara autorizada y analizar fotogramas compatibles</w:t>
            </w:r>
          </w:p>
          <w:p>
            <w:pPr>
              <w:spacing w:after="50" w:before="0" w:line="254" w:lineRule="auto"/>
              <w:jc w:val="both"/>
            </w:pPr>
            <w:r>
              <w:rPr>
                <w:b/>
              </w:rPr>
              <w:t>Dónde puede circular / quién puede verla:</w:t>
            </w:r>
            <w:r>
              <w:t xml:space="preserve"> Dispositivo que publica → servicio de vídeo configurado → espectadores autorizados; algunos fotogramas se envían al servicio de análisis de ONE.</w:t>
            </w:r>
          </w:p>
          <w:p>
            <w:pPr>
              <w:spacing w:after="50" w:before="0" w:line="254" w:lineRule="auto"/>
              <w:jc w:val="both"/>
            </w:pPr>
            <w:r>
              <w:rPr>
                <w:b/>
              </w:rPr>
              <w:t>Conservación observada y requisito:</w:t>
            </w:r>
            <w:r>
              <w:t xml:space="preserve"> El análisis de imágenes procesa fotogramas en memoria y declara no guardarlos; la sesión de vídeo y audio se transmite en tiempo real. Cada instalación identifica grabaciones, registros, telemetría, volcados y copias; si no son necesarios, se desactivan y se comprueba que los medios no se conserven.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Capturas, clips y fotos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Clip de evento opcional, una imagen de un evento de posible caída, foto de referencia para calibrar una cámara</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Permitir revisión de un evento o localizar una cámara en el mapa</w:t>
            </w:r>
          </w:p>
          <w:p>
            <w:pPr>
              <w:spacing w:after="50" w:before="0" w:line="254" w:lineRule="auto"/>
              <w:jc w:val="both"/>
            </w:pPr>
            <w:r>
              <w:rPr>
                <w:b/>
              </w:rPr>
              <w:t>Dónde puede circular / quién puede verla:</w:t>
            </w:r>
            <w:r>
              <w:t xml:space="preserve"> Almacenamiento local de objetos; clips y capturas de eventos usan cifrado autenticado cuando las claves están configuradas; acceso servicio de ONE según hogar/rol</w:t>
            </w:r>
          </w:p>
          <w:p>
            <w:pPr>
              <w:spacing w:after="50" w:before="0" w:line="254" w:lineRule="auto"/>
              <w:jc w:val="both"/>
            </w:pPr>
            <w:r>
              <w:rPr>
                <w:b/>
              </w:rPr>
              <w:t>Conservación observada y requisito:</w:t>
            </w:r>
            <w:r>
              <w:t xml:space="preserve"> Clips: expiración prevista de 7 días, sujeta a la ejecución del proceso de retención. Capturas de eventos: expiración de 30 días; su eliminación física depende del mismo proceso administrativo. La foto de referencia de cámara no muestra caducidad general; comprobar su borrado al cambiar o retirar la cámara y al suprimir el hogar.</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Mapa y datos espaciales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Habitaciones, polígonos, geometría 2D/3D, RoomPlan, USDZ, calibración, pose de cámara, zonas, muebles y coordenadas relativas</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Representar el entorno, colocar cámaras y contextualizar observaciones</w:t>
            </w:r>
          </w:p>
          <w:p>
            <w:pPr>
              <w:spacing w:after="50" w:before="0" w:line="254" w:lineRule="auto"/>
              <w:jc w:val="both"/>
            </w:pPr>
            <w:r>
              <w:rPr>
                <w:b/>
              </w:rPr>
              <w:t>Dónde puede circular / quién puede verla:</w:t>
            </w:r>
            <w:r>
              <w:t xml:space="preserve"> Servicio de ONE y almacenamiento de archivos; accesible desde las aplicaciones de personas autorizadas del hogar.</w:t>
            </w:r>
          </w:p>
          <w:p>
            <w:pPr>
              <w:spacing w:after="50" w:before="0" w:line="254" w:lineRule="auto"/>
              <w:jc w:val="both"/>
            </w:pPr>
            <w:r>
              <w:rPr>
                <w:b/>
              </w:rPr>
              <w:t>Conservación observada y requisito:</w:t>
            </w:r>
            <w:r>
              <w:t xml:space="preserve"> Mapas y calibración permanecen hasta su reemplazo o el borrado del hogar en el diseño documentado; no se ha observado caducidad general. Pueden revelar la distribución y las rutinas del domicilio. Aprobar un plazo necesario y probar la eliminación de artefactos y copias.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Observaciones y eventos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Etiqueta de objeto/persona, hora, cámara, habitación, confianza, coordenada o zona, explicación, estado de revisión</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Historial reciente y avisos a personas autorizadas</w:t>
            </w:r>
          </w:p>
          <w:p>
            <w:pPr>
              <w:spacing w:after="50" w:before="0" w:line="254" w:lineRule="auto"/>
              <w:jc w:val="both"/>
            </w:pPr>
            <w:r>
              <w:rPr>
                <w:b/>
              </w:rPr>
              <w:t>Dónde puede circular / quién puede verla:</w:t>
            </w:r>
            <w:r>
              <w:t xml:space="preserve"> Servicio de ONE y vistas de aplicaciones o web; los datos se limitan por hogar y, en determinadas funciones, por persona.</w:t>
            </w:r>
          </w:p>
          <w:p>
            <w:pPr>
              <w:spacing w:after="50" w:before="0" w:line="254" w:lineRule="auto"/>
              <w:jc w:val="both"/>
            </w:pPr>
            <w:r>
              <w:rPr>
                <w:b/>
              </w:rPr>
              <w:t>Conservación observada y requisito:</w:t>
            </w:r>
            <w:r>
              <w:t xml:space="preserve"> Los eventos y resúmenes tienen plazos de hasta 30 días. La eliminación física requiere ejecutar el proceso administrativo de retención; no se ha acreditado programación automática ni la limpieza de todas las copias y capturas de eventos.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Biometría facial</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Muestras de inscripción transitorias, embedding/plantilla cifrada, versión del modelo, estado y número de muestras</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Comparar con una persona cuidada que se haya inscrito y esté activa</w:t>
            </w:r>
          </w:p>
          <w:p>
            <w:pPr>
              <w:spacing w:after="50" w:before="0" w:line="254" w:lineRule="auto"/>
              <w:jc w:val="both"/>
            </w:pPr>
            <w:r>
              <w:rPr>
                <w:b/>
              </w:rPr>
              <w:t>Dónde puede circular / quién puede verla:</w:t>
            </w:r>
            <w:r>
              <w:t xml:space="preserve"> Fotogramas enviados al proceso local de análisis; plantilla cifrada en almacenamiento local; resultado de identificación vinculado al evento.</w:t>
            </w:r>
          </w:p>
          <w:p>
            <w:pPr>
              <w:spacing w:after="50" w:before="0" w:line="254" w:lineRule="auto"/>
              <w:jc w:val="both"/>
            </w:pPr>
            <w:r>
              <w:rPr>
                <w:b/>
              </w:rPr>
              <w:t>Conservación observada y requisito:</w:t>
            </w:r>
            <w:r>
              <w:t xml:space="preserve"> Las muestras de inscripción se procesan en memoria según el diseño; la plantilla cifrada permanece hasta retirar la función o borrar el perfil. No hay caducidad automática. El servicio de borrado del hogar no acredita la eliminación de la plantilla y sus copias; probarla antes de habilitar reconocimiento facial.</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Ubicación exterior</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Latitud/longitud, hora, precisión, velocidad/rumbo si están presentes, nivel de batería, identificador y modelo de dispositivo, zonas seguras y cambios de geovalla</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Ver última posición y, según configuración, historial de hasta siete días y alertas de entrada/salida</w:t>
            </w:r>
          </w:p>
          <w:p>
            <w:pPr>
              <w:spacing w:after="50" w:before="0" w:line="254" w:lineRule="auto"/>
              <w:jc w:val="both"/>
            </w:pPr>
            <w:r>
              <w:rPr>
                <w:b/>
              </w:rPr>
              <w:t>Dónde puede circular / quién puede verla:</w:t>
            </w:r>
            <w:r>
              <w:t xml:space="preserve"> Android guarda un historial local en el móvil y sincroniza puntos con el servicio de ONE; las personas cuidadoras autorizadas pueden consultar el historial.</w:t>
            </w:r>
          </w:p>
          <w:p>
            <w:pPr>
              <w:spacing w:after="50" w:before="0" w:line="254" w:lineRule="auto"/>
              <w:jc w:val="both"/>
            </w:pPr>
            <w:r>
              <w:rPr>
                <w:b/>
              </w:rPr>
              <w:t>Conservación observada y requisito:</w:t>
            </w:r>
            <w:r>
              <w:t xml:space="preserve"> El servicio de ONE muestra como máximo siete días de historial y elimina puntos antiguos al recibir puntos nuevos. No se ha acreditado limpieza programada ni inclusión de ubicaciones en la retención general. La instalación también debe eliminar datos locales, puntos no sincronizados y copias.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Voz a texto y texto escrito</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Audio de una sesión de “mantener para hablar”; transcripción resultante; texto de check-in o consulta</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Convertir voz en texto en Android o enviar una consulta/check-in pedido por una persona</w:t>
            </w:r>
          </w:p>
          <w:p>
            <w:pPr>
              <w:spacing w:after="50" w:before="0" w:line="254" w:lineRule="auto"/>
              <w:jc w:val="both"/>
            </w:pPr>
            <w:r>
              <w:rPr>
                <w:b/>
              </w:rPr>
              <w:t>Dónde puede circular / quién puede verla:</w:t>
            </w:r>
            <w:r>
              <w:t xml:space="preserve"> Android utiliza el reconocedor de voz del sistema operativo, cuyo proveedor varía según el dispositivo; el texto de check-in se envía al servicio de ONE.</w:t>
            </w:r>
          </w:p>
          <w:p>
            <w:pPr>
              <w:spacing w:after="50" w:before="0" w:line="254" w:lineRule="auto"/>
              <w:jc w:val="both"/>
            </w:pPr>
            <w:r>
              <w:rPr>
                <w:b/>
              </w:rPr>
              <w:t>Conservación observada y requisito:</w:t>
            </w:r>
            <w:r>
              <w:t xml:space="preserve"> Android utiliza el reconocedor de voz del sistema operativo, cuyo proveedor depende del dispositivo. El servicio de ONE almacena un resumen o evento derivado; las pruebas deben verificar que no registra audio ni transcripciones originales. El proveedor efectivo y sus condiciones de retención y transferencia deben comunicarse antes de habilitar voz.</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Resultados de IA</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Texto de respuesta, IDs de evidencia, limitaciones y versión o proveedor/modelo informado</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Responder a petición expresa con contexto acotado</w:t>
            </w:r>
          </w:p>
          <w:p>
            <w:pPr>
              <w:spacing w:after="50" w:before="0" w:line="254" w:lineRule="auto"/>
              <w:jc w:val="both"/>
            </w:pPr>
            <w:r>
              <w:rPr>
                <w:b/>
              </w:rPr>
              <w:t>Dónde puede circular / quién puede verla:</w:t>
            </w:r>
            <w:r>
              <w:t xml:space="preserve"> LM Studio es el valor local predeterminado; variables de configuración permiten un servicio OpenAI-compatible externo. El proveedor efectivo lo determina el operador</w:t>
            </w:r>
          </w:p>
          <w:p>
            <w:pPr>
              <w:spacing w:after="50" w:before="0" w:line="254" w:lineRule="auto"/>
              <w:jc w:val="both"/>
            </w:pPr>
            <w:r>
              <w:rPr>
                <w:b/>
              </w:rPr>
              <w:t>Conservación observada y requisito:</w:t>
            </w:r>
            <w:r>
              <w:t xml:space="preserve"> LM Studio local es el valor predeterminado, pero la configuración admite un servicio externo compatible. El servicio efectivo recibe una petición y contexto derivado acotado. Identificar el proveedor y región, retención, telemetría y uso para entrenamiento; formalizar garantías y actualizar la ficha antes de habilitarlo.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Datos técnicos y auditoría</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IP, hora, identificadores, tipo de dispositivo, errores, accesos y acciones sensibles, logs de hosting</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Seguridad, diagnóstico técnico, auditoría, prevención de abuso y atender derechos</w:t>
            </w:r>
          </w:p>
          <w:p>
            <w:pPr>
              <w:spacing w:after="50" w:before="0" w:line="254" w:lineRule="auto"/>
              <w:jc w:val="both"/>
            </w:pPr>
            <w:r>
              <w:rPr>
                <w:rFonts w:ascii="Arial" w:hAnsi="Arial" w:eastAsia="Arial"/>
                <w:b/>
                <w:color w:val="000000"/>
                <w:sz w:val="18"/>
              </w:rPr>
              <w:t>Dónde puede circular / quién puede verla:</w:t>
            </w:r>
            <w:r>
              <w:rPr>
                <w:rFonts w:ascii="Arial" w:hAnsi="Arial" w:eastAsia="Arial"/>
                <w:b w:val="0"/>
                <w:color w:val="000000"/>
                <w:sz w:val="18"/>
              </w:rPr>
              <w:t xml:space="preserve"> Host y personal operativo restringido; proveedor de infraestructura si existe</w:t>
            </w:r>
          </w:p>
          <w:p>
            <w:pPr>
              <w:spacing w:after="50" w:before="0" w:line="254" w:lineRule="auto"/>
              <w:jc w:val="both"/>
            </w:pPr>
            <w:r>
              <w:rPr>
                <w:b/>
              </w:rPr>
              <w:t>Conservación observada y requisito:</w:t>
            </w:r>
            <w:r>
              <w:t xml:space="preserve"> No hay un plazo global comprobado para logs, analítica, exportaciones o copias. Inventariar cada sistema y definir rotación, borrado, cifrado, restauración y expiración de copias de seguridad.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Búsquedas y mapas exteriores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Texto de lugar, coordenadas enviadas para geocodificación inversa, mosaicos de mapa solicitados</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Buscar direcciones y mostrar mapas exteriores</w:t>
            </w:r>
          </w:p>
          <w:p>
            <w:pPr>
              <w:spacing w:after="50" w:before="0" w:line="254" w:lineRule="auto"/>
              <w:jc w:val="both"/>
            </w:pPr>
            <w:r>
              <w:rPr>
                <w:rFonts w:ascii="Arial" w:hAnsi="Arial" w:eastAsia="Arial"/>
                <w:b/>
                <w:color w:val="000000"/>
                <w:sz w:val="18"/>
              </w:rPr>
              <w:t>Dónde puede circular / quién puede verla:</w:t>
            </w:r>
            <w:r>
              <w:rPr>
                <w:rFonts w:ascii="Arial" w:hAnsi="Arial" w:eastAsia="Arial"/>
                <w:b w:val="0"/>
                <w:color w:val="000000"/>
                <w:sz w:val="18"/>
              </w:rPr>
              <w:t xml:space="preserve"> Android realiza consultas a Nominatim/OpenStreetMap y carga teselas desde proveedor configurado; Google Play Services puede participar en ubicación del teléfono</w:t>
            </w:r>
          </w:p>
          <w:p>
            <w:pPr>
              <w:spacing w:after="50" w:before="0" w:line="254" w:lineRule="auto"/>
              <w:jc w:val="both"/>
            </w:pPr>
            <w:r>
              <w:rPr>
                <w:b/>
              </w:rPr>
              <w:t>Conservación observada y requisito:</w:t>
            </w:r>
            <w:r>
              <w:t xml:space="preserve"> Android puede consultar Nominatim/OpenStreetMap y cargar teselas del proveedor de mapas configurado; otras funciones pueden enviar IP, texto de búsqueda o coordenadas. Identificar proveedor, servicio, datos enviados, región, retención y enlace de privacidad antes de habilitar estas consultas.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Cachés locales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Ejemplos en ONE:</w:t>
            </w:r>
            <w:r>
              <w:rPr>
                <w:rFonts w:ascii="Arial" w:hAnsi="Arial" w:eastAsia="Arial"/>
                <w:b w:val="0"/>
                <w:color w:val="000000"/>
                <w:sz w:val="18"/>
              </w:rPr>
              <w:t xml:space="preserve"> Mapas, cámaras, eventos, objetos o ubicaciones recientes, tokens y estado seleccionado</w:t>
            </w:r>
          </w:p>
          <w:p>
            <w:pPr>
              <w:spacing w:after="50" w:before="0" w:line="254" w:lineRule="auto"/>
              <w:jc w:val="both"/>
            </w:pPr>
            <w:r>
              <w:rPr>
                <w:rFonts w:ascii="Arial" w:hAnsi="Arial" w:eastAsia="Arial"/>
                <w:b/>
                <w:color w:val="000000"/>
                <w:sz w:val="18"/>
              </w:rPr>
              <w:t>Para qué se usa:</w:t>
            </w:r>
            <w:r>
              <w:rPr>
                <w:rFonts w:ascii="Arial" w:hAnsi="Arial" w:eastAsia="Arial"/>
                <w:b w:val="0"/>
                <w:color w:val="000000"/>
                <w:sz w:val="18"/>
              </w:rPr>
              <w:t xml:space="preserve"> Mostrar contenido, mantener sesión o permitir seguimiento sin conexión</w:t>
            </w:r>
          </w:p>
          <w:p>
            <w:pPr>
              <w:spacing w:after="50" w:before="0" w:line="254" w:lineRule="auto"/>
              <w:jc w:val="both"/>
            </w:pPr>
            <w:r>
              <w:rPr>
                <w:rFonts w:ascii="Arial" w:hAnsi="Arial" w:eastAsia="Arial"/>
                <w:b/>
                <w:color w:val="000000"/>
                <w:sz w:val="18"/>
              </w:rPr>
              <w:t>Dónde puede circular / quién puede verla:</w:t>
            </w:r>
            <w:r>
              <w:rPr>
                <w:rFonts w:ascii="Arial" w:hAnsi="Arial" w:eastAsia="Arial"/>
                <w:b w:val="0"/>
                <w:color w:val="000000"/>
                <w:sz w:val="18"/>
              </w:rPr>
              <w:t xml:space="preserve"> Navegador, Keychain iOS, SecureStore Android y bases/SharedPreferences locales según pantalla</w:t>
            </w:r>
          </w:p>
          <w:p>
            <w:pPr>
              <w:spacing w:after="50" w:before="0" w:line="254" w:lineRule="auto"/>
              <w:jc w:val="both"/>
            </w:pPr>
            <w:r>
              <w:rPr>
                <w:b/>
              </w:rPr>
              <w:t>Conservación observada y requisito:</w:t>
            </w:r>
            <w:r>
              <w:t xml:space="preserve"> Navegador, Keychain de iOS, SecureStore de Android y almacenamiento local pueden conservar mapas, eventos, ubicaciones, tokens y estado. Cada plataforma debe borrar los datos pertinentes al cerrar sesión, revocar permisos, retirar un dispositivo o suprimir la cuenta, y superar pruebas específicas.</w:t>
            </w:r>
          </w:p>
        </w:tc>
      </w:tr>
    </w:tbl>
    <w:p>
      <w:pPr>
        <w:spacing w:after="0"/>
      </w:pPr>
    </w:p>
    <w:p>
      <w:pPr>
        <w:jc w:val="both"/>
      </w:pPr>
      <w:r>
        <w:rPr>
          <w:rFonts w:ascii="Arial" w:hAnsi="Arial" w:eastAsia="Arial"/>
          <w:b w:val="0"/>
          <w:color w:val="000000"/>
          <w:sz w:val="20"/>
        </w:rPr>
        <w:t>Las imágenes, la voz y la ubicación son datos personales cuando permiten identificar directa o indirectamente a una persona. Una imagen facial no es automáticamente una categoría especial en todos los usos; las plantillas se usan para comparar con personas inscritas y pueden constituir dato biométrico especialmente protegido cuando se tratan para identificar de manera única. Los medicamentos, diagnósticos, situación cognitiva y observaciones de salud pueden constituir datos relativos a la salud. El responsable determinará la calificación concreta y aplicará el art. 9 RGPD cuando corresponda.</w:t>
      </w:r>
    </w:p>
    <w:p>
      <w:pPr>
        <w:pStyle w:val="Heading3"/>
      </w:pPr>
      <w:r>
        <w:rPr>
          <w:rFonts w:ascii="Arial" w:hAnsi="Arial" w:eastAsia="Arial"/>
          <w:b/>
          <w:color w:val="000000"/>
          <w:sz w:val="21"/>
        </w:rPr>
        <w:t>De dónde proceden los datos</w:t>
      </w:r>
    </w:p>
    <w:p>
      <w:pPr>
        <w:jc w:val="both"/>
      </w:pPr>
      <w:r>
        <w:rPr>
          <w:rFonts w:ascii="Arial" w:hAnsi="Arial" w:eastAsia="Arial"/>
          <w:b w:val="0"/>
          <w:color w:val="000000"/>
          <w:sz w:val="20"/>
        </w:rPr>
        <w:t>Los datos pueden facilitarlos directamente la persona, un familiar/cuidador/representante, el administrador del espacio o un operador profesional; generarse al usar las apps y dispositivos; provenir de sensores de cámara, micrófono y ubicación; producirse mediante detección o resumen automático; o recibirse de servicios del sistema operativo, mapas, voz o modelo configurados. Cuando los datos procedan de otra persona, el responsable informa de su fuente, categorías, finalidad, base jurídica, destinatarios y conservación conforme al art. 14 RGPD, dentro del plazo legal y a más tardar en el primer contacto o comunicación pertinente, salvo excepción aplicable.</w:t>
      </w:r>
    </w:p>
    <w:p>
      <w:pPr>
        <w:pStyle w:val="Heading2"/>
      </w:pPr>
      <w:r>
        <w:rPr>
          <w:rFonts w:ascii="Arial" w:hAnsi="Arial" w:eastAsia="Arial"/>
          <w:b/>
          <w:color w:val="000000"/>
          <w:sz w:val="24"/>
        </w:rPr>
        <w:t>5. Para qué se usan y qué base jurídica se aplica</w:t>
      </w:r>
    </w:p>
    <w:p>
      <w:pPr>
        <w:jc w:val="both"/>
      </w:pPr>
      <w:r>
        <w:t>El responsable debe documentar una base del artículo 6 del RGPD por cada finalidad y, si se tratan categorías especiales, una excepción aplicable del artículo 9. Los ejemplos de la tabla son criterios de análisis, no una elección de base ni una conclusión de licitud. No se habilitará una finalidad con datos personales hasta que la base y la información correspondiente estén aprobadas.</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Finalidad</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Base jurídica y evidencia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Crear y gestionar cuenta, hogar y roles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Contrato si es necesario para prestar el servicio a esa persona; obligación legal o interés legítimo sólo con análisis adecuado según el caso</w:t>
            </w:r>
          </w:p>
          <w:p>
            <w:pPr>
              <w:spacing w:after="50" w:before="0" w:line="254" w:lineRule="auto"/>
              <w:jc w:val="both"/>
            </w:pPr>
            <w:r>
              <w:rPr>
                <w:b/>
              </w:rPr>
              <w:t>Artículo 9 RGPD, si hay categorías especiales:</w:t>
            </w:r>
            <w:r>
              <w:t xml:space="preserve"> Normalmente no, excepto si campos o contexto revelan salud</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Contrato/registro de actividad y campos mínimos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Emparejar cámara y autenticar dispositivos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Contrato, interés legítimo evaluado o consentimiento según relación y configuración</w:t>
            </w:r>
          </w:p>
          <w:p>
            <w:pPr>
              <w:spacing w:after="50" w:before="0" w:line="254" w:lineRule="auto"/>
              <w:jc w:val="both"/>
            </w:pPr>
            <w:r>
              <w:rPr>
                <w:b/>
              </w:rPr>
              <w:t>Artículo 9 RGPD, si hay categorías especiales:</w:t>
            </w:r>
            <w:r>
              <w:t xml:space="preserve"> Evaluar datos incidentales de salud captados por cámara</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Información en el dispositivo y mecanismo de revocación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Capturar y analizar vídeo en vivo</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específica y demostración de necesidad; no presumir legítimo interés para vigilancia de personas cuidadas</w:t>
            </w:r>
          </w:p>
          <w:p>
            <w:pPr>
              <w:spacing w:after="50" w:before="0" w:line="254" w:lineRule="auto"/>
              <w:jc w:val="both"/>
            </w:pPr>
            <w:r>
              <w:rPr>
                <w:b/>
              </w:rPr>
              <w:t>Artículo 9 RGPD, si hay categorías especiales:</w:t>
            </w:r>
            <w:r>
              <w:t xml:space="preserve"> Condición para datos de salud incidentales y cualquier dato especial efectivamente tratado</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Elección independiente, libre, informada, granular, revocable; alternativa si no acepta; informar a terceros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Procesar audio de LiveKit o voz a texto</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por cada flujo de audio y por conversión a texto</w:t>
            </w:r>
          </w:p>
          <w:p>
            <w:pPr>
              <w:spacing w:after="50" w:before="0" w:line="254" w:lineRule="auto"/>
              <w:jc w:val="both"/>
            </w:pPr>
            <w:r>
              <w:rPr>
                <w:b/>
              </w:rPr>
              <w:t>Artículo 9 RGPD, si hay categorías especiales:</w:t>
            </w:r>
            <w:r>
              <w:t xml:space="preserve"> Audio puede revelar salud; analizar el contenido real</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Aclarar si se registra/transcribe, quién recibe el audio y cómo detenerlo</w:t>
            </w:r>
          </w:p>
        </w:tc>
      </w:tr>
      <w:tr>
        <w:trPr>
          <w:cantSplit/>
        </w:trPr>
        <w:tc>
          <w:tcPr>
            <w:tcW w:type="dxa" w:w="2131"/>
            <w:vAlign w:val="top"/>
            <w:tcMar>
              <w:top w:w="160" w:type="dxa"/>
              <w:start w:w="145" w:type="dxa"/>
              <w:bottom w:w="160" w:type="dxa"/>
              <w:end w:w="145" w:type="dxa"/>
            </w:tcMar>
          </w:tcPr>
          <w:p>
            <w:pPr>
              <w:spacing w:after="0" w:line="252" w:lineRule="auto"/>
              <w:jc w:val="both"/>
            </w:pPr>
            <w:r>
              <w:t>Guardar clips o capturas de eventos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Finalidad distinta a la imagen en directo; evaluar por separado</w:t>
            </w:r>
          </w:p>
          <w:p>
            <w:pPr>
              <w:spacing w:after="50" w:before="0" w:line="254" w:lineRule="auto"/>
              <w:jc w:val="both"/>
            </w:pPr>
            <w:r>
              <w:rPr>
                <w:b/>
              </w:rPr>
              <w:t>Artículo 9 RGPD, si hay categorías especiales:</w:t>
            </w:r>
            <w:r>
              <w:t xml:space="preserve"> Condición correspondiente si contienen datos de salud/biometría</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Opción separada, motivo, acceso y plazo corto aprobado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Crear mapas y calibraciones interiores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independiente, considerando la intrusión y datos de terceros</w:t>
            </w:r>
          </w:p>
          <w:p>
            <w:pPr>
              <w:spacing w:after="50" w:before="0" w:line="254" w:lineRule="auto"/>
              <w:jc w:val="both"/>
            </w:pPr>
            <w:r>
              <w:rPr>
                <w:b/>
              </w:rPr>
              <w:t>Artículo 9 RGPD, si hay categorías especiales:</w:t>
            </w:r>
            <w:r>
              <w:t xml:space="preserve"> Analizar si se vinculan con información sanitaria o identificativa</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Necesidad frente a zonas menos detalladas y plazo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Eventos de objetos, presencia o posibles caídas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proporcionalidad, expectativas y efecto sobre persona vulnerable</w:t>
            </w:r>
          </w:p>
          <w:p>
            <w:pPr>
              <w:spacing w:after="50" w:before="0" w:line="254" w:lineRule="auto"/>
              <w:jc w:val="both"/>
            </w:pPr>
            <w:r>
              <w:rPr>
                <w:b/>
              </w:rPr>
              <w:t>Artículo 9 RGPD, si hay categorías especiales:</w:t>
            </w:r>
            <w:r>
              <w:t xml:space="preserve"> Art. 9 si la observación se usa para inferir salud/estado clínico</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EIPD, límites de finalidad y revisión humana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Reconocimiento facial de persona inscrita</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propia</w:t>
            </w:r>
          </w:p>
          <w:p>
            <w:pPr>
              <w:spacing w:after="50" w:before="0" w:line="254" w:lineRule="auto"/>
              <w:jc w:val="both"/>
            </w:pPr>
            <w:r>
              <w:rPr>
                <w:b/>
              </w:rPr>
              <w:t>Artículo 9 RGPD, si hay categorías especiales:</w:t>
            </w:r>
            <w:r>
              <w:t xml:space="preserve"> Condición de art. 9 válida para biometría de identificación; comprobar restricciones nacionales</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Alternativa equivalente sin cara, inscripción informada, revocación y supresión efectiva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Ubicación precisa, historial y geovallas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propia y justificación de frecuencia/precisión/horario</w:t>
            </w:r>
          </w:p>
          <w:p>
            <w:pPr>
              <w:spacing w:after="50" w:before="0" w:line="254" w:lineRule="auto"/>
              <w:jc w:val="both"/>
            </w:pPr>
            <w:r>
              <w:rPr>
                <w:b/>
              </w:rPr>
              <w:t>Artículo 9 RGPD, si hay categorías especiales:</w:t>
            </w:r>
            <w:r>
              <w:t xml:space="preserve"> Normalmente no es especial por sí sola, pero el contexto puede revelar salud o hábitos</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Activación explícita, indicador visible, pausa y eliminación verificable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Planes, recordatorios y confirmaciones de medicación</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propia; contrato sólo si es verdaderamente necesario y esperado</w:t>
            </w:r>
          </w:p>
          <w:p>
            <w:pPr>
              <w:spacing w:after="50" w:before="0" w:line="254" w:lineRule="auto"/>
              <w:jc w:val="both"/>
            </w:pPr>
            <w:r>
              <w:rPr>
                <w:b/>
              </w:rPr>
              <w:t>Artículo 9 RGPD, si hay categorías especiales:</w:t>
            </w:r>
            <w:r>
              <w:t xml:space="preserve"> Condición de art. 9 para información de salud</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Definir quién introduce y ve los datos; aclarar que confirmación no verifica toma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Check-in y respuesta asistida por IA</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para el texto y cada dato fuente; evaluar enviar a un modelo de tercero</w:t>
            </w:r>
          </w:p>
          <w:p>
            <w:pPr>
              <w:spacing w:after="50" w:before="0" w:line="254" w:lineRule="auto"/>
              <w:jc w:val="both"/>
            </w:pPr>
            <w:r>
              <w:rPr>
                <w:b/>
              </w:rPr>
              <w:t>Artículo 9 RGPD, si hay categorías especiales:</w:t>
            </w:r>
            <w:r>
              <w:t xml:space="preserve"> Art. 9 cuando la respuesta se basa en salud</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Indicar antes del envío qué contexto usa y dónde se procesa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Compartir con cuidadores/familiares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Base propia, alcance por persona y fundamento de representación</w:t>
            </w:r>
          </w:p>
          <w:p>
            <w:pPr>
              <w:spacing w:after="50" w:before="0" w:line="254" w:lineRule="auto"/>
              <w:jc w:val="both"/>
            </w:pPr>
            <w:r>
              <w:rPr>
                <w:b/>
              </w:rPr>
              <w:t>Artículo 9 RGPD, si hay categorías especiales:</w:t>
            </w:r>
            <w:r>
              <w:t xml:space="preserve"> Puede incluir salud/biometría</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Permisos por recurso y persona, no solo una aceptación familiar genérica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Seguridad, fraude, soporte y obligaciones</w:t>
            </w:r>
          </w:p>
        </w:tc>
        <w:tc>
          <w:tcPr>
            <w:tcW w:type="dxa" w:w="7502"/>
            <w:vAlign w:val="top"/>
            <w:tcMar>
              <w:top w:w="160" w:type="dxa"/>
              <w:start w:w="145" w:type="dxa"/>
              <w:bottom w:w="160" w:type="dxa"/>
              <w:end w:w="145" w:type="dxa"/>
            </w:tcMar>
          </w:tcPr>
          <w:p>
            <w:pPr>
              <w:spacing w:after="50" w:before="0" w:line="254" w:lineRule="auto"/>
              <w:jc w:val="both"/>
            </w:pPr>
            <w:r>
              <w:rPr>
                <w:b/>
              </w:rPr>
              <w:t>Base del artículo 6 RGPD, decisión documentada previa:</w:t>
            </w:r>
            <w:r>
              <w:t xml:space="preserve"> Obligación legal o interés legítimo documentado, limitado a lo necesario</w:t>
            </w:r>
          </w:p>
          <w:p>
            <w:pPr>
              <w:spacing w:after="50" w:before="0" w:line="254" w:lineRule="auto"/>
              <w:jc w:val="both"/>
            </w:pPr>
            <w:r>
              <w:rPr>
                <w:b/>
              </w:rPr>
              <w:t>Artículo 9 RGPD, si hay categorías especiales:</w:t>
            </w:r>
            <w:r>
              <w:t xml:space="preserve"> Minimizar; no volcar contenido sensible en logs</w:t>
            </w:r>
          </w:p>
          <w:p>
            <w:pPr>
              <w:spacing w:after="50" w:before="0" w:line="254" w:lineRule="auto"/>
              <w:jc w:val="both"/>
            </w:pPr>
            <w:r>
              <w:rPr>
                <w:rFonts w:ascii="Arial" w:hAnsi="Arial" w:eastAsia="Arial"/>
                <w:b/>
                <w:color w:val="000000"/>
                <w:sz w:val="18"/>
              </w:rPr>
              <w:t>Evidencia antes de activar:</w:t>
            </w:r>
            <w:r>
              <w:rPr>
                <w:rFonts w:ascii="Arial" w:hAnsi="Arial" w:eastAsia="Arial"/>
                <w:b w:val="0"/>
                <w:color w:val="000000"/>
                <w:sz w:val="18"/>
              </w:rPr>
              <w:t xml:space="preserve"> Prueba de interés legítimo cuando se use y calendario de registros</w:t>
            </w:r>
          </w:p>
        </w:tc>
      </w:tr>
    </w:tbl>
    <w:p>
      <w:pPr>
        <w:spacing w:after="0"/>
      </w:pPr>
    </w:p>
    <w:p>
      <w:pPr>
        <w:pStyle w:val="Heading3"/>
      </w:pPr>
      <w:r>
        <w:rPr>
          <w:rFonts w:ascii="Arial" w:hAnsi="Arial" w:eastAsia="Arial"/>
          <w:b/>
          <w:color w:val="000000"/>
          <w:sz w:val="21"/>
        </w:rPr>
        <w:t>Si no facilitas un dato</w:t>
      </w:r>
    </w:p>
    <w:p>
      <w:pPr>
        <w:jc w:val="both"/>
      </w:pPr>
      <w:r>
        <w:rPr>
          <w:rFonts w:ascii="Arial" w:hAnsi="Arial" w:eastAsia="Arial"/>
          <w:b w:val="0"/>
          <w:color w:val="000000"/>
          <w:sz w:val="20"/>
        </w:rPr>
        <w:t>El aviso final indicará por campo o función qué datos son estrictamente necesarios para crear una cuenta o prestar una función, cuáles son opcionales y qué consecuencia tiene no aportarlos (por ejemplo, no poder iniciar sesión, sincronizar ubicación o generar un resumen). No se describirá como obligatorio un dato que el usuario puede dejar vacío ni se supeditará una función básica a aceptar otra finalidad opcional.</w:t>
      </w:r>
    </w:p>
    <w:p>
      <w:pPr>
        <w:jc w:val="both"/>
      </w:pPr>
      <w:r>
        <w:rPr>
          <w:rFonts w:ascii="Arial" w:hAnsi="Arial" w:eastAsia="Arial"/>
          <w:b w:val="0"/>
          <w:color w:val="000000"/>
          <w:sz w:val="20"/>
        </w:rPr>
        <w:t xml:space="preserve">Si se pretende fundamentar el tratamiento en consentimiento, éste debe ser una acción afirmativa, específica, informada, libre, demostrable y tan fácil de retirar como de otorgar. Para art. 9, comprobar si se necesita consentimiento explícito u otra excepción legal aplicable. Las guías del </w:t>
      </w:r>
      <w:hyperlink r:id="rId11">
        <w:r>
          <w:rPr>
            <w:rFonts w:ascii="Arial" w:hAnsi="Arial"/>
            <w:color w:val="000000"/>
            <w:sz w:val="20"/>
          </w:rPr>
          <w:t>CEPD sobre consentimiento</w:t>
        </w:r>
      </w:hyperlink>
      <w:r>
        <w:rPr>
          <w:rFonts w:ascii="Arial" w:hAnsi="Arial" w:eastAsia="Arial"/>
          <w:b w:val="0"/>
          <w:color w:val="000000"/>
          <w:sz w:val="20"/>
        </w:rPr>
        <w:t xml:space="preserve"> son referencia para revisar desequilibrio de poder, personas vulnerables y servicios condicionados. No activar biometría, ubicación o vigilancia con la presunción de que el cuidador puede consentir por otra persona.</w:t>
      </w:r>
    </w:p>
    <w:p>
      <w:pPr>
        <w:pStyle w:val="Heading2"/>
      </w:pPr>
      <w:r>
        <w:rPr>
          <w:rFonts w:ascii="Arial" w:hAnsi="Arial" w:eastAsia="Arial"/>
          <w:b/>
          <w:color w:val="000000"/>
          <w:sz w:val="24"/>
        </w:rPr>
        <w:t>6. Quién puede acceder</w:t>
      </w:r>
    </w:p>
    <w:p>
      <w:pPr>
        <w:jc w:val="both"/>
      </w:pPr>
      <w:r>
        <w:t>Las cuentas de ONE se organizan principalmente por hogar. El servicio aplica controles específicos según la función y el propósito, y filtra por persona en determinadas consultas. El acceso individual no es uniforme en todas las funciones; la entidad que opera ONE debe asignar permisos mínimos por persona y comprobar que cada integrante solo accede a los datos necesarios.</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Actor</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Accesos y límites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Residente/persona cuidada</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Cuenta y algunas vistas según membresía; un integrante del hogar puede consultar los recursos que ONE pone a disposición de sus miembros.</w:t>
            </w:r>
          </w:p>
          <w:p>
            <w:pPr>
              <w:spacing w:after="50" w:before="0" w:line="254" w:lineRule="auto"/>
              <w:jc w:val="both"/>
            </w:pPr>
            <w:r>
              <w:rPr>
                <w:b/>
              </w:rPr>
              <w:t>Salvaguarda obligatoria:</w:t>
            </w:r>
            <w:r>
              <w:t xml:space="preserve"> Debe poder ver sus propios datos y decisiones, y conocer quién ha visto sus datos; impedir exposición de información de otros residentes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Cuidador</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Puede gestionar recursos y, cuando la función lo requiera, consultar información familiar, medicación, ubicación, eventos o resúmenes.</w:t>
            </w:r>
          </w:p>
          <w:p>
            <w:pPr>
              <w:spacing w:after="50" w:before="0" w:line="254" w:lineRule="auto"/>
              <w:jc w:val="both"/>
            </w:pPr>
            <w:r>
              <w:rPr>
                <w:b/>
              </w:rPr>
              <w:t>Salvaguarda obligatoria:</w:t>
            </w:r>
            <w:r>
              <w:t xml:space="preserve"> Acceso mínimo a las personas asignadas y solo a fines necesarios; justificar/exportar cada acceso sensible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Administrador del hogar</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Gestiona miembros, dispositivos y controles; puede solicitar la exportación del hogar. La solicitud de supresión del hogar está reservada a la persona administradora.</w:t>
            </w:r>
          </w:p>
          <w:p>
            <w:pPr>
              <w:spacing w:after="50" w:before="0" w:line="254" w:lineRule="auto"/>
              <w:jc w:val="both"/>
            </w:pPr>
            <w:r>
              <w:rPr>
                <w:b/>
              </w:rPr>
              <w:t>Salvaguarda obligatoria:</w:t>
            </w:r>
            <w:r>
              <w:t xml:space="preserve"> La administración técnica no implica automáticamente representación legal, derecho a consentir tratamientos ni acceso clínico ilimitado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Dispositivo publicador/cámara</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Puede publicar medios con credenciales de dispositivo. No se ha comprobado que esas credenciales impidan cualquier otro acceso.</w:t>
            </w:r>
          </w:p>
          <w:p>
            <w:pPr>
              <w:spacing w:after="50" w:before="0" w:line="254" w:lineRule="auto"/>
              <w:jc w:val="both"/>
            </w:pPr>
            <w:r>
              <w:rPr>
                <w:b/>
              </w:rPr>
              <w:t>Salvaguarda obligatoria:</w:t>
            </w:r>
            <w:r>
              <w:t xml:space="preserve"> Debe aceptar órdenes de pausa/revocación y no poder extraer historiales ni cambiar quién consintió</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Operador técnico/proveedor ONE</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Puede tener acceso privilegiado al servidor, datos, configuración, copias o soporte, según la modalidad.</w:t>
            </w:r>
          </w:p>
          <w:p>
            <w:pPr>
              <w:spacing w:after="50" w:before="0" w:line="254" w:lineRule="auto"/>
              <w:jc w:val="both"/>
            </w:pPr>
            <w:r>
              <w:rPr>
                <w:b/>
              </w:rPr>
              <w:t>Salvaguarda obligatoria:</w:t>
            </w:r>
            <w:r>
              <w:t xml:space="preserve"> Acceso excepcional, temporal, justificado, registrado y sujeto a instrucciones/contrato; no usar contenido para publicidad o entrenamiento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Proveedor de LiveKit</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El servicio de vídeo transporta los medios de la sesión. La entidad que lo opera y la región dependen de la instalación.</w:t>
            </w:r>
          </w:p>
          <w:p>
            <w:pPr>
              <w:spacing w:after="50" w:before="0" w:line="254" w:lineRule="auto"/>
              <w:jc w:val="both"/>
            </w:pPr>
            <w:r>
              <w:rPr>
                <w:b/>
              </w:rPr>
              <w:t>Salvaguarda obligatoria:</w:t>
            </w:r>
            <w:r>
              <w:t xml:space="preserve"> Confirmar si es autoalojado o alojado, quién administra, grabación, logs, retransmisión y región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Proveedor de modelo</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Recibe la solicitud y el contexto limitado que el servicio de IA haya enviado para generar una respuesta.</w:t>
            </w:r>
          </w:p>
          <w:p>
            <w:pPr>
              <w:spacing w:after="50" w:before="0" w:line="254" w:lineRule="auto"/>
              <w:jc w:val="both"/>
            </w:pPr>
            <w:r>
              <w:rPr>
                <w:b/>
              </w:rPr>
              <w:t>Salvaguarda obligatoria:</w:t>
            </w:r>
            <w:r>
              <w:t xml:space="preserve"> Exigir contrato y parámetros sin entrenamiento, con retención/borrado y localización conocidos; “OpenAI-compatible” no identifica al proveedor</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Proveedores de mapas/voz/ubicación</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Pueden recibir solicitudes de voz o datos de búsqueda y ubicación según el sistema operativo y los servicios configurados.</w:t>
            </w:r>
          </w:p>
          <w:p>
            <w:pPr>
              <w:spacing w:after="50" w:before="0" w:line="254" w:lineRule="auto"/>
              <w:jc w:val="both"/>
            </w:pPr>
            <w:r>
              <w:rPr>
                <w:b/>
              </w:rPr>
              <w:t>Salvaguarda obligatoria:</w:t>
            </w:r>
            <w:r>
              <w:t xml:space="preserve"> Revelar nombre real, datos recibidos, finalidades propias, enlace de privacidad, transferencias y controles disponibles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Autoridades o terceros legalmente habilitados</w:t>
            </w:r>
          </w:p>
        </w:tc>
        <w:tc>
          <w:tcPr>
            <w:tcW w:type="dxa" w:w="7502"/>
            <w:vAlign w:val="top"/>
            <w:tcMar>
              <w:top w:w="160" w:type="dxa"/>
              <w:start w:w="145" w:type="dxa"/>
              <w:bottom w:w="160" w:type="dxa"/>
              <w:end w:w="145" w:type="dxa"/>
            </w:tcMar>
          </w:tcPr>
          <w:p>
            <w:pPr>
              <w:spacing w:after="50" w:before="0" w:line="254" w:lineRule="auto"/>
              <w:jc w:val="both"/>
            </w:pPr>
            <w:r>
              <w:rPr>
                <w:b/>
              </w:rPr>
              <w:t>Acceso observado en ONE:</w:t>
            </w:r>
            <w:r>
              <w:t xml:space="preserve"> Solo reciben datos cuando existe una obligación legal válida y con el alcance estrictamente necesario.</w:t>
            </w:r>
          </w:p>
          <w:p>
            <w:pPr>
              <w:spacing w:after="50" w:before="0" w:line="254" w:lineRule="auto"/>
              <w:jc w:val="both"/>
            </w:pPr>
            <w:r>
              <w:rPr>
                <w:b/>
              </w:rPr>
              <w:t>Salvaguarda obligatoria:</w:t>
            </w:r>
            <w:r>
              <w:t xml:space="preserve"> Definir proceso de validación, divulgación mínima y registro</w:t>
            </w:r>
          </w:p>
        </w:tc>
      </w:tr>
    </w:tbl>
    <w:p>
      <w:pPr>
        <w:spacing w:after="0"/>
      </w:pPr>
    </w:p>
    <w:p>
      <w:pPr>
        <w:jc w:val="both"/>
      </w:pPr>
      <w:r>
        <w:t>Las invitaciones y la pertenencia a un hogar no prueban representación legal. Compartir dispositivo, contraseñas o enlaces de reconexión puede exponer datos y debe evitarse. Los enlaces persistentes de cámara y los tokens guardados en el navegador requieren controles de revocación, acceso local y cierre de sesión. El mecanismo de descarga permite a un miembro autenticado que no sea publicador solicitar la exportación del hogar completo; el borrado del hogar está reservado a la persona administradora. La exportación no entrega un paquete completo de medios y el borrado no acredita por sí solo la eliminación de todos los archivos externos, en particular las plantillas faciales y las copias. Este mecanismo no acredita el ejercicio íntegro de derechos por persona y debe completarse antes de tratar datos reales.</w:t>
      </w:r>
    </w:p>
    <w:p>
      <w:pPr>
        <w:pStyle w:val="Heading2"/>
      </w:pPr>
      <w:r>
        <w:rPr>
          <w:rFonts w:ascii="Arial" w:hAnsi="Arial" w:eastAsia="Arial"/>
          <w:b/>
          <w:color w:val="000000"/>
          <w:sz w:val="24"/>
        </w:rPr>
        <w:t>7. Qué se comparte con modelos y proveedores</w:t>
      </w:r>
    </w:p>
    <w:p>
      <w:pPr>
        <w:jc w:val="both"/>
      </w:pPr>
      <w:r>
        <w:t>ONE puede procesar vídeo, mapas y datos de cuidado en infraestructura administrada por el hogar, el centro o un proveedor contratado. Por defecto, el componente de inteligencia artificial se configura para ejecutarse localmente; la persona operadora puede elegir un proveedor externo compatible. La ubicación efectiva, la entidad que recibe los datos y sus condiciones de conservación dependen de cada instalación y se indican en su ficha de privacidad.</w:t>
      </w:r>
    </w:p>
    <w:p>
      <w:pPr>
        <w:jc w:val="both"/>
      </w:pPr>
      <w:r>
        <w:t>Cuando una persona solicita un check-in o resumen, el servicio de IA configurado recibe el texto de la solicitud y contexto derivado limitado, que puede incluir eventos recientes, información de medicación, check-ins diarios o señales de posible caída según la función utilizada. La función familiar excluye imágenes originales de vídeo, plantillas faciales, capturas de eventos y transcripciones no acotadas. La petición no envía automáticamente todo el historial. La instalación debe identificar al proveedor y comunicar su ubicación, registros, soporte, conservación y uso de los datos.</w:t>
      </w:r>
    </w:p>
    <w:p>
      <w:pPr>
        <w:jc w:val="both"/>
      </w:pPr>
      <w:r>
        <w:t>Los destinatarios efectivos de cada instalación deben identificarse por nombre y función en su ficha de privacidad, junto con los datos que reciben, ubicación, conservación, acceso de soporte, transferencias y garantías. Si una función usa un tercero, su configuración debe quedar reflejada antes de activarla. Si un proveedor actúa como encargado, se formalizarán las instrucciones y garantías del artículo 28 del RGPD. Las transferencias fuera del EEE se regirán por el capítulo V del RGPD.</w:t>
      </w:r>
    </w:p>
    <w:p>
      <w:pPr>
        <w:pStyle w:val="Heading2"/>
      </w:pPr>
      <w:r>
        <w:rPr>
          <w:rFonts w:ascii="Arial" w:hAnsi="Arial" w:eastAsia="Arial"/>
          <w:b/>
          <w:color w:val="000000"/>
          <w:sz w:val="24"/>
        </w:rPr>
        <w:t>8. Conservación y eliminación</w:t>
      </w:r>
    </w:p>
    <w:p>
      <w:pPr>
        <w:jc w:val="both"/>
      </w:pPr>
      <w:r>
        <w:t>Los plazos y mecanismos de conservación descritos en las tablas recogen valores técnicos configurados para algunas categorías. No sustituyen el plazo que debe fijar la entidad responsable para cada finalidad. Esa entidad debe aprobar y comunicar un periodo necesario y proporcional para cada dato, servicio, proveedor y copia, y comprobar que su eliminación funciona en todos ellos.</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Datos</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Referencia y política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Frames de visión/mapa</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Procesamiento en memoria; no se persisten como fotogramas en las rutas revisadas</w:t>
            </w:r>
          </w:p>
          <w:p>
            <w:pPr>
              <w:spacing w:after="50" w:before="0" w:line="254" w:lineRule="auto"/>
              <w:jc w:val="both"/>
            </w:pPr>
            <w:r>
              <w:rPr>
                <w:b/>
              </w:rPr>
              <w:t>Control exigido antes de producción:</w:t>
            </w:r>
            <w:r>
              <w:t xml:space="preserve"> Comprobar que los fotogramas no quedan en memoria temporal, registros de errores, telemetría o colas después del análisis; documentar y probar el borrado.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Vídeo/audio LiveKit</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Flujo en tiempo real</w:t>
            </w:r>
          </w:p>
          <w:p>
            <w:pPr>
              <w:spacing w:after="50" w:before="0" w:line="254" w:lineRule="auto"/>
              <w:jc w:val="both"/>
            </w:pPr>
            <w:r>
              <w:rPr>
                <w:b/>
              </w:rPr>
              <w:t>Control exigido antes de producción:</w:t>
            </w:r>
            <w:r>
              <w:t xml:space="preserve"> Configurar si el servidor graba, retransmite o registra metadatos; fijar región y plazo; verificar cada participante, log y copia. Desactivar la grabación si no es necesaria y no habilitar el flujo hasta comunicar estos datos.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Código de emparejamiento</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Uso único y expiración corta (10 min en diseño)</w:t>
            </w:r>
          </w:p>
          <w:p>
            <w:pPr>
              <w:spacing w:after="50" w:before="0" w:line="254" w:lineRule="auto"/>
              <w:jc w:val="both"/>
            </w:pPr>
            <w:r>
              <w:rPr>
                <w:b/>
              </w:rPr>
              <w:t>Control exigido antes de producción:</w:t>
            </w:r>
            <w:r>
              <w:t xml:space="preserve"> Purga de filas caducadas y logs de petición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Sesiones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El plazo predeterminado de sesión en el servicio de ONE es de 10.080 minutos (7 días) y puede configurarse. Una sesión vencida se rechaza, pero el registro técnico no se elimina automáticamente.</w:t>
            </w:r>
          </w:p>
          <w:p>
            <w:pPr>
              <w:spacing w:after="50" w:before="0" w:line="254" w:lineRule="auto"/>
              <w:jc w:val="both"/>
            </w:pPr>
            <w:r>
              <w:rPr>
                <w:b/>
              </w:rPr>
              <w:t>Control exigido antes de producción:</w:t>
            </w:r>
            <w:r>
              <w:t xml:space="preserve"> Programar y monitorizar la eliminación de filas vencidas y verificar que cierre de sesión, revocación y pérdida de dispositivo invalidan los tokens guardados en todas las plataformas.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Clips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7 días en plan de retención</w:t>
            </w:r>
          </w:p>
          <w:p>
            <w:pPr>
              <w:spacing w:after="50" w:before="0" w:line="254" w:lineRule="auto"/>
              <w:jc w:val="both"/>
            </w:pPr>
            <w:r>
              <w:rPr>
                <w:b/>
              </w:rPr>
              <w:t>Control exigido antes de producción:</w:t>
            </w:r>
            <w:r>
              <w:t xml:space="preserve"> Tarea automática, objetos y copias de seguridad; la eliminación de fila no elimina copia de backup</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Eventos/observaciones/resúmenes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Eventos y resúmenes reciben una expiración de 30 días; las observaciones antiguas también se eliminan por la tarea de retención. La tarea existe como servicio administrativo manual y no se ha encontrado un programador automático.</w:t>
            </w:r>
          </w:p>
          <w:p>
            <w:pPr>
              <w:spacing w:after="50" w:before="0" w:line="254" w:lineRule="auto"/>
              <w:jc w:val="both"/>
            </w:pPr>
            <w:r>
              <w:rPr>
                <w:b/>
              </w:rPr>
              <w:t>Control exigido antes de producción:</w:t>
            </w:r>
            <w:r>
              <w:t xml:space="preserve"> Programar y vigilar la tarea; verificar borrado de objetos, índices, eventos, resúmenes y capturas de eventos, incluidas fallas y copias de seguridad.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Fotos de referencia de cámara</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La foto se guarda como artefacto asociado a los metadatos de la cámara y no se ha observado una caducidad general.</w:t>
            </w:r>
          </w:p>
          <w:p>
            <w:pPr>
              <w:spacing w:after="50" w:before="0" w:line="254" w:lineRule="auto"/>
              <w:jc w:val="both"/>
            </w:pPr>
            <w:r>
              <w:rPr>
                <w:b/>
              </w:rPr>
              <w:t>Control exigido antes de producción:</w:t>
            </w:r>
            <w:r>
              <w:t xml:space="preserve"> Probar la eliminación del archivo al sustituir o retirar la cámara, suprimir el hogar y vencer el plazo aprobado.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Mapas/RoomPlan/USDZ/calibración</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Hasta reemplazo o eliminación, según documentación</w:t>
            </w:r>
          </w:p>
          <w:p>
            <w:pPr>
              <w:spacing w:after="50" w:before="0" w:line="254" w:lineRule="auto"/>
              <w:jc w:val="both"/>
            </w:pPr>
            <w:r>
              <w:rPr>
                <w:b/>
              </w:rPr>
              <w:t>Control exigido antes de producción:</w:t>
            </w:r>
            <w:r>
              <w:t xml:space="preserve"> Justificar conservación histórica; retirar artefactos y copias al reemplazar o cerrar espacio</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Plantillas faciales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La desactivación del perfil facial elimina la plantilla en el flujo específico. El servicio de borrado del hogar no acredita que elimine la plantilla cifrada y sus copias.</w:t>
            </w:r>
          </w:p>
          <w:p>
            <w:pPr>
              <w:spacing w:after="50" w:before="0" w:line="254" w:lineRule="auto"/>
              <w:jc w:val="both"/>
            </w:pPr>
            <w:r>
              <w:rPr>
                <w:b/>
              </w:rPr>
              <w:t>Control exigido antes de producción:</w:t>
            </w:r>
            <w:r>
              <w:t xml:space="preserve"> Incluir plantilla, base de datos, cachés, resultados derivados y copias de seguridad en pruebas de retirada, supresión y borrado del hogar.</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Ubicación</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Historial diseñado para siete días; el servicio de ONE elimina datos antiguos cuando recibe puntos nuevos. La tarea general de retención no incluye puntos de ubicación.</w:t>
            </w:r>
          </w:p>
          <w:p>
            <w:pPr>
              <w:spacing w:after="50" w:before="0" w:line="254" w:lineRule="auto"/>
              <w:jc w:val="both"/>
            </w:pPr>
            <w:r>
              <w:rPr>
                <w:b/>
              </w:rPr>
              <w:t>Control exigido antes de producción:</w:t>
            </w:r>
            <w:r>
              <w:t xml:space="preserve"> Programar limpieza diaria en servidor y móvil y verificar puntos sin conexión, geovallas, exportaciones y copias.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Medicación/check-ins/consentimientos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Sin fecha de caducidad verificada</w:t>
            </w:r>
          </w:p>
          <w:p>
            <w:pPr>
              <w:spacing w:after="50" w:before="0" w:line="254" w:lineRule="auto"/>
              <w:jc w:val="both"/>
            </w:pPr>
            <w:r>
              <w:rPr>
                <w:b/>
              </w:rPr>
              <w:t>Control exigido antes de producción:</w:t>
            </w:r>
            <w:r>
              <w:t xml:space="preserve"> Aprobar el plazo para cada plan y check-in, borrarlos al vencer o al terminar la relación y probarlo en base de datos, móviles, proveedores y copias.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Auditoría y solicitudes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Registros mínimos previstos</w:t>
            </w:r>
          </w:p>
          <w:p>
            <w:pPr>
              <w:spacing w:after="50" w:before="0" w:line="254" w:lineRule="auto"/>
              <w:jc w:val="both"/>
            </w:pPr>
            <w:r>
              <w:rPr>
                <w:b/>
              </w:rPr>
              <w:t>Control exigido antes de producción:</w:t>
            </w:r>
            <w:r>
              <w:t xml:space="preserve"> Plazo justificado, controles de acceso y separación de la historia de cuidados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Logs, exportaciones y copias</w:t>
            </w:r>
          </w:p>
        </w:tc>
        <w:tc>
          <w:tcPr>
            <w:tcW w:type="dxa" w:w="7502"/>
            <w:vAlign w:val="top"/>
            <w:tcMar>
              <w:top w:w="160" w:type="dxa"/>
              <w:start w:w="145" w:type="dxa"/>
              <w:bottom w:w="160" w:type="dxa"/>
              <w:end w:w="145" w:type="dxa"/>
            </w:tcMar>
          </w:tcPr>
          <w:p>
            <w:pPr>
              <w:spacing w:after="50" w:before="0" w:line="254" w:lineRule="auto"/>
              <w:jc w:val="both"/>
            </w:pPr>
            <w:r>
              <w:rPr>
                <w:b/>
              </w:rPr>
              <w:t>Comportamiento observado:</w:t>
            </w:r>
            <w:r>
              <w:t xml:space="preserve"> No hay duración única comprobada</w:t>
            </w:r>
          </w:p>
          <w:p>
            <w:pPr>
              <w:spacing w:after="50" w:before="0" w:line="254" w:lineRule="auto"/>
              <w:jc w:val="both"/>
            </w:pPr>
            <w:r>
              <w:rPr>
                <w:b/>
              </w:rPr>
              <w:t>Control exigido antes de producción:</w:t>
            </w:r>
            <w:r>
              <w:t xml:space="preserve"> Inventario por servicio, borrado/rotación, cifrado, restauración y expiración de copias de seguridad</w:t>
            </w:r>
          </w:p>
        </w:tc>
      </w:tr>
    </w:tbl>
    <w:p>
      <w:pPr>
        <w:spacing w:after="0"/>
      </w:pPr>
    </w:p>
    <w:p>
      <w:pPr>
        <w:jc w:val="both"/>
      </w:pPr>
      <w:r>
        <w:rPr>
          <w:rFonts w:ascii="Arial" w:hAnsi="Arial" w:eastAsia="Arial"/>
          <w:b w:val="0"/>
          <w:color w:val="000000"/>
          <w:sz w:val="20"/>
        </w:rPr>
        <w:t>Si se solicita el borrado y existe una obligación legal que impida eliminar algún registro, se limitará ese registro, se explicará el motivo y se conservará únicamente el mínimo durante el plazo obligatorio. Una copia de respaldo que no pueda modificarse de inmediato debe quedar inaccesible para uso ordinario, no restaurarse salvo necesidad, eliminarse en el ciclo indicado y recibir de nuevo la orden de borrado tras una restauración. Se informará con precisión de cuándo termina la eliminación en sistemas activos y cuándo expiran las copias.</w:t>
      </w:r>
    </w:p>
    <w:p>
      <w:pPr>
        <w:pStyle w:val="Heading2"/>
      </w:pPr>
      <w:r>
        <w:rPr>
          <w:rFonts w:ascii="Arial" w:hAnsi="Arial" w:eastAsia="Arial"/>
          <w:b/>
          <w:color w:val="000000"/>
          <w:sz w:val="24"/>
        </w:rPr>
        <w:t>9. Seguridad</w:t>
      </w:r>
    </w:p>
    <w:p>
      <w:pPr>
        <w:jc w:val="both"/>
      </w:pPr>
      <w:r>
        <w:t>Según la configuración, ONE utiliza sesiones y códigos almacenados mediante hash, comprobaciones de pertenencia al hogar, límites para archivos, cifrado de clips y plantillas faciales cuando se han configurado las claves, almacenamiento protegido de sesión en iOS y permisos del sistema operativo. La entidad que opera ONE debe habilitar y comprobar estos controles en su instalación.</w:t>
      </w:r>
    </w:p>
    <w:p>
      <w:pPr>
        <w:jc w:val="both"/>
      </w:pPr>
      <w:r>
        <w:t>La entidad que opera ONE debe configurar claves reales y rotadas, comunicaciones cifradas, secretos protegidos, controles de red, copias de seguridad cifradas, acceso administrativo restringido, actualizaciones, gestión de vulnerabilidades, pruebas de autorización, restauración y borrado, registros sin contenido sensible y un plan de incidentes. Los datos reales no se incorporarán a repositorios de desarrollo, incidencias ni sistemas de prueba.</w:t>
      </w:r>
    </w:p>
    <w:p>
      <w:pPr>
        <w:jc w:val="both"/>
      </w:pPr>
      <w:r>
        <w:rPr>
          <w:rFonts w:ascii="Arial" w:hAnsi="Arial" w:eastAsia="Arial"/>
          <w:b w:val="0"/>
          <w:color w:val="000000"/>
          <w:sz w:val="20"/>
        </w:rPr>
        <w:t>Si un incidente compromete datos personales, el responsable evaluará el riesgo, lo documentará y notificará a la autoridad de control sin dilación indebida y, cuando proceda, en un máximo de 72 horas desde que tenga constancia. Si es probable un alto riesgo, comunicará el incidente a las personas afectadas sin demora indebida, salvo que concurra una excepción legal. El encargado avisará al responsable sin dilación indebida conforme a contrato.</w:t>
      </w:r>
    </w:p>
    <w:p>
      <w:pPr>
        <w:pStyle w:val="Heading2"/>
      </w:pPr>
      <w:r>
        <w:rPr>
          <w:rFonts w:ascii="Arial" w:hAnsi="Arial" w:eastAsia="Arial"/>
          <w:b/>
          <w:color w:val="000000"/>
          <w:sz w:val="24"/>
        </w:rPr>
        <w:t>10. Decisiones automatizadas, IA y precisión</w:t>
      </w:r>
    </w:p>
    <w:p>
      <w:pPr>
        <w:jc w:val="both"/>
      </w:pPr>
      <w:r>
        <w:rPr>
          <w:rFonts w:ascii="Arial" w:hAnsi="Arial" w:eastAsia="Arial"/>
          <w:b w:val="0"/>
          <w:color w:val="000000"/>
          <w:sz w:val="20"/>
        </w:rPr>
        <w:t>ONE procesa imagen para detecciones y, si se activa, compara una persona con una plantilla facial inscrita. Las alertas, estimaciones de objeto/ubicación, eventos de posible caída y resúmenes pueden ser inexactos. La intención de diseño es que sirvan como ayuda administrativa o señal revisable, no como decisión clínica, diagnóstico, vigilancia laboral o decisión exclusivamente automatizada con efectos jurídicos o significativamente similares.</w:t>
      </w:r>
    </w:p>
    <w:p>
      <w:pPr>
        <w:jc w:val="both"/>
      </w:pPr>
      <w:r>
        <w:rPr>
          <w:rFonts w:ascii="Arial" w:hAnsi="Arial" w:eastAsia="Arial"/>
          <w:b w:val="0"/>
          <w:color w:val="000000"/>
          <w:sz w:val="20"/>
        </w:rPr>
        <w:t>Los modelos pueden generar errores, omitir datos, reflejar sesgos o responder de forma incorrecta. Las personas usuarias deben revisar el material fuente y conservar la decisión final. No se debe inferir emoción, deterioro cognitivo, obediencia, riesgo clínico o necesidad de tratamiento de una señal de ONE salvo que una versión futura haya sido evaluada y autorizada para esa finalidad. Si la función o uso real llega a influir de forma significativa en una persona, se evaluarán RGPD art. 22, EIPD, supervisión y Reglamento de IA.</w:t>
      </w:r>
    </w:p>
    <w:p>
      <w:pPr>
        <w:jc w:val="both"/>
      </w:pPr>
      <w:r>
        <w:t>Desde el 2 de agosto de 2026, las reglas de transparencia aplicables del Reglamento de IA incluyen informar a las personas cuando interactúen directamente con un sistema de IA, salvo que resulte evidente para una persona razonablemente informada. ONE debe identificar claramente al asistente como IA. La modificación de 2026 aplaza determinadas obligaciones para sistemas clasificados como de alto riesgo: las de sistemas del anexo III se aplican desde el 2 de diciembre de 2027 y las de productos del anexo I desde el 2 de agosto de 2028. La clasificación depende de la finalidad y del uso real; esos plazos no aplazan las obligaciones de transparencia que ya resulten aplicables.</w:t>
      </w:r>
    </w:p>
    <w:p>
      <w:pPr>
        <w:pStyle w:val="Heading2"/>
      </w:pPr>
      <w:r>
        <w:rPr>
          <w:rFonts w:ascii="Arial" w:hAnsi="Arial" w:eastAsia="Arial"/>
          <w:b/>
          <w:color w:val="000000"/>
          <w:sz w:val="24"/>
        </w:rPr>
        <w:t>11. Derechos y cómo ejercerlos</w:t>
      </w:r>
    </w:p>
    <w:p>
      <w:pPr>
        <w:jc w:val="both"/>
      </w:pPr>
      <w:r>
        <w:rPr>
          <w:rFonts w:ascii="Arial" w:hAnsi="Arial" w:eastAsia="Arial"/>
          <w:b w:val="0"/>
          <w:color w:val="000000"/>
          <w:sz w:val="20"/>
        </w:rPr>
        <w:t xml:space="preserve">Según el RGPD y la ley aplicable, una persona puede solicitar acceso y copia, rectificación, supresión, limitación, oposición, portabilidad cuando proceda, retirar consentimiento sin afectar la licitud previa, y garantías frente a decisiones automatizadas. También puede reclamar ante la autoridad de control. En España, la autoridad es la </w:t>
      </w:r>
      <w:hyperlink r:id="rId12">
        <w:r>
          <w:rPr>
            <w:rFonts w:ascii="Arial" w:hAnsi="Arial"/>
            <w:color w:val="000000"/>
            <w:sz w:val="20"/>
          </w:rPr>
          <w:t>Agencia Española de Protección de Datos (AEPD)</w:t>
        </w:r>
      </w:hyperlink>
      <w:r>
        <w:rPr>
          <w:rFonts w:ascii="Arial" w:hAnsi="Arial" w:eastAsia="Arial"/>
          <w:b w:val="0"/>
          <w:color w:val="000000"/>
          <w:sz w:val="20"/>
        </w:rPr>
        <w:t>.</w:t>
      </w:r>
    </w:p>
    <w:p>
      <w:pPr>
        <w:jc w:val="both"/>
      </w:pPr>
      <w:r>
        <w:rPr>
          <w:rFonts w:ascii="Arial" w:hAnsi="Arial" w:eastAsia="Arial"/>
          <w:b w:val="0"/>
          <w:color w:val="000000"/>
          <w:sz w:val="20"/>
        </w:rPr>
        <w:t>Para ejercer derechos, utiliza el canal de privacidad indicado en la información legal de la app, del contrato o de la organización que administra ONE. Indica el hogar o cuenta y la categoría de información solicitada. El responsable podrá verificar identidad de forma proporcionada y, si alguien actúa por otra persona, pedir prueba adecuada de la representación o autorización sin solicitar datos excesivos. No se exigirá al solicitante que entregue más datos de los necesarios para localizar y proteger la información.</w:t>
      </w:r>
    </w:p>
    <w:p>
      <w:pPr>
        <w:jc w:val="both"/>
      </w:pPr>
      <w:r>
        <w:t>El responsable responderá, como regla general, en un mes; puede ampliar hasta dos meses adicionales cuando la complejidad o el número de solicitudes lo justifiquen, informando de la ampliación y sus motivos dentro del primer mes. Las herramientas disponibles para descargar o eliminar información no acreditan por sí solas una respuesta íntegra por persona ni la entrega de imágenes, audio, datos biométricos y copias. Hasta que la entidad responsable verifique su cobertura, las solicitudes se gestionan por el canal de privacidad indicado en la ficha de la instalación.</w:t>
      </w:r>
    </w:p>
    <w:p>
      <w:pPr>
        <w:jc w:val="both"/>
      </w:pPr>
      <w:r>
        <w:rPr>
          <w:rFonts w:ascii="Arial" w:hAnsi="Arial" w:eastAsia="Arial"/>
          <w:b w:val="0"/>
          <w:color w:val="000000"/>
          <w:sz w:val="20"/>
        </w:rPr>
        <w:t>La retirada de una opción detendrá la captura/tratamiento futuro de esa finalidad tan pronto como sea técnicamente posible. No elimina automáticamente datos ya recogidos: se aplicará la política de conservación y, cuando corresponda, se atenderá una solicitud de supresión. La pausa de cámara debe detener todos los emisores y medios en directo; la retirada del audio debe detener por separado LiveKit y push-to-talk; apagar una función en el sistema operativo no necesariamente elimina la información ya sincronizada.</w:t>
      </w:r>
    </w:p>
    <w:p>
      <w:pPr>
        <w:pStyle w:val="Heading2"/>
      </w:pPr>
      <w:r>
        <w:rPr>
          <w:rFonts w:ascii="Arial" w:hAnsi="Arial" w:eastAsia="Arial"/>
          <w:b/>
          <w:color w:val="000000"/>
          <w:sz w:val="24"/>
        </w:rPr>
        <w:t>12. Personas cuidadas, capacidad y representación</w:t>
      </w:r>
    </w:p>
    <w:p>
      <w:pPr>
        <w:jc w:val="both"/>
      </w:pPr>
      <w:r>
        <w:rPr>
          <w:rFonts w:ascii="Arial" w:hAnsi="Arial" w:eastAsia="Arial"/>
          <w:b w:val="0"/>
          <w:color w:val="000000"/>
          <w:sz w:val="20"/>
        </w:rPr>
        <w:t>La persona a la que se cuida mantiene su dignidad, intimidad y derecho a ser informada. Una relación de parentesco, rol de cuidador o administrador de la app no concede automáticamente facultad para dar consentimiento en su nombre. El responsable debe verificar quién puede representar legalmente a la persona y el alcance de esa facultad conforme a la ley nacional aplicable.</w:t>
      </w:r>
    </w:p>
    <w:p>
      <w:pPr>
        <w:jc w:val="both"/>
      </w:pPr>
      <w:r>
        <w:rPr>
          <w:rFonts w:ascii="Arial" w:hAnsi="Arial" w:eastAsia="Arial"/>
          <w:b w:val="0"/>
          <w:color w:val="000000"/>
          <w:sz w:val="20"/>
        </w:rPr>
        <w:t>La información se ofrecerá en lenguaje sencillo y accesible, explicada directamente a la persona siempre que sea posible. Se atenderá su voluntad, preferencias, oposición y cambios de opinión; se revisará periódicamente cualquier representación. Si no puede obtenerse una base legal válida para una función sensible, esa función no se activa. La atención no debe condicionarse a aceptar grabación o localización que no sea estrictamente necesaria y legal.</w:t>
      </w:r>
    </w:p>
    <w:p>
      <w:pPr>
        <w:jc w:val="both"/>
      </w:pPr>
      <w:r>
        <w:t>Antes de activar cámaras, el responsable debe informar a visitantes y personal de cuidados, poner señalización adecuada cuando proceda, limitar el campo a los espacios y horarios necesarios, excluir baños, vestidores y otros espacios de intimidad, evaluar alternativas menos intrusivas y no utilizar el sistema para controlar rendimiento laboral. Las orientaciones de la AEPD de junio de 2026 ponen en el centro la dignidad, voluntad y privacidad de la persona mayor y los derechos del personal cuidador. Se debe permitir que la persona exprese su oposición y revisar la configuración si cambian sus necesidades o capacidad. La grabación continua y el audio requieren una justificación reforzada; la AEPD recomienda, con carácter general, evitar captar sonido por su especial intrusión.</w:t>
      </w:r>
    </w:p>
    <w:p>
      <w:pPr>
        <w:jc w:val="both"/>
      </w:pPr>
      <w:r>
        <w:t>ONE no se ofrece a menores hasta que exista una evaluación específica de edad, representación parental, diseño de protección infantil y normativa nacional aplicable.</w:t>
      </w:r>
    </w:p>
    <w:p>
      <w:pPr>
        <w:pStyle w:val="Heading2"/>
      </w:pPr>
      <w:r>
        <w:rPr>
          <w:rFonts w:ascii="Arial" w:hAnsi="Arial" w:eastAsia="Arial"/>
          <w:b/>
          <w:color w:val="000000"/>
          <w:sz w:val="24"/>
        </w:rPr>
        <w:t>13. Permisos, almacenamiento local y tecnologías web</w:t>
      </w:r>
    </w:p>
    <w:p>
      <w:pPr>
        <w:jc w:val="both"/>
      </w:pPr>
      <w:r>
        <w:rPr>
          <w:rFonts w:ascii="Arial" w:hAnsi="Arial" w:eastAsia="Arial"/>
          <w:b w:val="0"/>
          <w:color w:val="000000"/>
          <w:sz w:val="20"/>
        </w:rPr>
        <w:t>Las apps pueden solicitar permisos del dispositivo para cámara, micrófono, ubicación precisa o segundo plano y notificaciones. Los permisos del sistema operativo son controles técnicos; no reemplazan por sí mismos la base jurídica, el aviso ni el consentimiento válido para la finalidad.</w:t>
      </w:r>
    </w:p>
    <w:p>
      <w:pPr>
        <w:jc w:val="both"/>
      </w:pPr>
      <w:r>
        <w:t>Las aplicaciones para Android pueden utilizar cámara, micrófono, ubicación en segundo plano y almacenamiento local. En iOS se solicitan permisos de cámara y micrófono según la función. Android puede utilizar el reconocedor de voz que ofrezca el sistema operativo, con condiciones que varían según el dispositivo; se ofrece entrada escrita como alternativa. La ficha y las declaraciones de privacidad de cada versión distribuida deben describir estos flujos reales.</w:t>
      </w:r>
    </w:p>
    <w:p>
      <w:pPr>
        <w:jc w:val="both"/>
      </w:pPr>
      <w:r>
        <w:rPr>
          <w:rFonts w:ascii="Arial" w:hAnsi="Arial" w:eastAsia="Arial"/>
          <w:b w:val="0"/>
          <w:color w:val="000000"/>
          <w:sz w:val="20"/>
        </w:rPr>
        <w:t xml:space="preserve">La web almacena el token de sesión en </w:t>
      </w:r>
      <w:r>
        <w:rPr>
          <w:rFonts w:ascii="Consolas" w:hAnsi="Consolas" w:eastAsia="Consolas"/>
          <w:b w:val="0"/>
          <w:color w:val="000000"/>
          <w:sz w:val="19"/>
        </w:rPr>
        <w:t>sessionStorage</w:t>
      </w:r>
      <w:r>
        <w:rPr>
          <w:rFonts w:ascii="Arial" w:hAnsi="Arial" w:eastAsia="Arial"/>
          <w:b w:val="0"/>
          <w:color w:val="000000"/>
          <w:sz w:val="20"/>
        </w:rPr>
        <w:t xml:space="preserve"> y un token/enlace de reconexión de cámara en </w:t>
      </w:r>
      <w:r>
        <w:rPr>
          <w:rFonts w:ascii="Consolas" w:hAnsi="Consolas" w:eastAsia="Consolas"/>
          <w:b w:val="0"/>
          <w:color w:val="000000"/>
          <w:sz w:val="19"/>
        </w:rPr>
        <w:t>localStorage</w:t>
      </w:r>
      <w:r>
        <w:rPr>
          <w:rFonts w:ascii="Arial" w:hAnsi="Arial" w:eastAsia="Arial"/>
          <w:b w:val="0"/>
          <w:color w:val="000000"/>
          <w:sz w:val="20"/>
        </w:rPr>
        <w:t>; no se ha verificado analítica publicitaria. El responsable debe documentar cookies y tecnologías equivalentes, almacenamiento local, telemetría y SDKs de terceros. Si se usa almacenamiento/acceso a información del terminal sujeto a la normativa ePrivacy, se obtendrá consentimiento cuando sea exigible, salvo excepción técnica aplicable. La LSSI española y la normativa de cookies se revisarán para el sitio y el servicio real.</w:t>
      </w:r>
    </w:p>
    <w:p>
      <w:pPr>
        <w:pStyle w:val="Heading2"/>
      </w:pPr>
      <w:r>
        <w:rPr>
          <w:rFonts w:ascii="Arial" w:hAnsi="Arial" w:eastAsia="Arial"/>
          <w:b/>
          <w:color w:val="000000"/>
          <w:sz w:val="24"/>
        </w:rPr>
        <w:t>14. Cambios en este aviso</w:t>
      </w:r>
    </w:p>
    <w:p>
      <w:pPr>
        <w:jc w:val="both"/>
      </w:pPr>
      <w:r>
        <w:rPr>
          <w:rFonts w:ascii="Arial" w:hAnsi="Arial" w:eastAsia="Arial"/>
          <w:b w:val="0"/>
          <w:color w:val="000000"/>
          <w:sz w:val="20"/>
        </w:rPr>
        <w:t>Se actualizará el aviso cuando cambien finalidades, datos, roles, destinatarios, proveedores, transferencias, plazos, modelo de IA, ubicación o permisos. Un cambio sustancial no se resolverá solo publicando una nueva versión: se informará a las personas afectadas antes del nuevo uso y se recabará una nueva decisión cuando sea necesaria. Se guardará la versión, idioma, fecha, persona, finalidad y evidencia de la opción tomada.</w:t>
      </w:r>
    </w:p>
    <w:p>
      <w:pPr>
        <w:pStyle w:val="Heading1"/>
        <w:pageBreakBefore/>
      </w:pPr>
      <w:r>
        <w:rPr>
          <w:rFonts w:ascii="Arial" w:hAnsi="Arial" w:eastAsia="Arial"/>
          <w:b/>
          <w:color w:val="000000"/>
          <w:sz w:val="30"/>
        </w:rPr>
        <w:t>Parte II: términos de uso de ONE</w:t>
      </w:r>
    </w:p>
    <w:p>
      <w:pPr>
        <w:pStyle w:val="Heading2"/>
      </w:pPr>
      <w:r>
        <w:rPr>
          <w:rFonts w:ascii="Arial" w:hAnsi="Arial" w:eastAsia="Arial"/>
          <w:b/>
          <w:color w:val="000000"/>
          <w:sz w:val="24"/>
        </w:rPr>
        <w:t>15. Identificación y aceptación</w:t>
      </w:r>
    </w:p>
    <w:p>
      <w:pPr>
        <w:jc w:val="both"/>
      </w:pPr>
      <w:r>
        <w:t>Estos términos rigen el uso de las aplicaciones y servicios ONE puestos a disposición por la entidad identificada en la información legal accesible de forma permanente desde la app o web y en la oferta o contrato aplicable (el «Proveedor»). Esa información incluirá el nombre o razón social, domicilio, un medio de contacto directo y efectivo y, cuando proceda, datos registrales y fiscales. El aviso de privacidad explica los tratamientos y se facilita antes de recoger datos. Aceptar estos términos no sustituye las elecciones de privacidad ni el consentimiento separado que pueda exigir una finalidad concreta.</w:t>
      </w:r>
    </w:p>
    <w:p>
      <w:pPr>
        <w:jc w:val="both"/>
      </w:pPr>
      <w:r>
        <w:t>Al crear una cuenta o utilizar las funciones, la persona acepta estos términos en la medida permitida por la ley. Cuando sea necesario, se mostrará un resumen y una aceptación afirmativa antes de cerrar el contrato. Para consumidores en España, antes de contratar se facilitará la información precontractual clara exigida, el precio total, las características, duración y terminación, identidad y contacto del empresario, medios de reclamación y, cuando corresponda, información sobre desistimiento y servicios digitales. La confirmación del contrato se entregará en soporte duradero. Se respetarán las normas imperativas y no se aplicarán cláusulas abusivas.</w:t>
      </w:r>
    </w:p>
    <w:p>
      <w:pPr>
        <w:pStyle w:val="Heading2"/>
      </w:pPr>
      <w:r>
        <w:rPr>
          <w:rFonts w:ascii="Arial" w:hAnsi="Arial" w:eastAsia="Arial"/>
          <w:b/>
          <w:color w:val="000000"/>
          <w:sz w:val="24"/>
        </w:rPr>
        <w:t>16. Qué ofrece el servicio</w:t>
      </w:r>
    </w:p>
    <w:p>
      <w:pPr>
        <w:jc w:val="both"/>
      </w:pPr>
      <w:r>
        <w:t>ONE ofrece, de acuerdo con la configuración contratada, cuentas y espacios de cuidado, emparejamiento de dispositivos, visualización en directo, análisis de imágenes, mapa del hogar, eventos y observaciones, recordatorios y registros administrativos de medicación, registros de seguimiento, funciones familiares, localización exterior y resúmenes asistidos por inteligencia artificial. Las pantallas de demostración utilizan datos sintéticos que no corresponden a personas reales. Una función se considera disponible cuando se incluye en el servicio contratado y se describe en la información de esa instalación.</w:t>
      </w:r>
    </w:p>
    <w:p>
      <w:pPr>
        <w:jc w:val="both"/>
      </w:pPr>
      <w:r>
        <w:rPr>
          <w:rFonts w:ascii="Arial" w:hAnsi="Arial" w:eastAsia="Arial"/>
          <w:b w:val="0"/>
          <w:color w:val="000000"/>
          <w:sz w:val="20"/>
        </w:rPr>
        <w:t>Las funciones pueden estar deshabilitadas, depender de hardware compatible o requerir instalación local, internet, red doméstica, permisos o proveedor externo. La disponibilidad, regiones, soporte, versiones y mantenimiento se muestran en la información del servicio aplicable a cada instalación.</w:t>
      </w:r>
    </w:p>
    <w:p>
      <w:pPr>
        <w:pStyle w:val="Heading2"/>
      </w:pPr>
      <w:r>
        <w:rPr>
          <w:rFonts w:ascii="Arial" w:hAnsi="Arial" w:eastAsia="Arial"/>
          <w:b/>
          <w:color w:val="000000"/>
          <w:sz w:val="24"/>
        </w:rPr>
        <w:t>17. Cuentas y responsabilidades por rol</w:t>
      </w:r>
    </w:p>
    <w:p>
      <w:pPr>
        <w:jc w:val="both"/>
      </w:pPr>
      <w:r>
        <w:rPr>
          <w:rFonts w:ascii="Arial" w:hAnsi="Arial" w:eastAsia="Arial"/>
          <w:b w:val="0"/>
          <w:color w:val="000000"/>
          <w:sz w:val="20"/>
        </w:rPr>
        <w:t>La persona usuaria debe mantener datos de cuenta correctos, custodiar credenciales, proteger el dispositivo, avisar de accesos no autorizados y cerrar sesiones en equipos compartidos. El administrador invitará solo a personas de confianza y les asignará el menor rol necesario. Cada cuidador usará una cuenta individual; no se compartirán contraseñas ni enlaces persistentes.</w:t>
      </w:r>
    </w:p>
    <w:p>
      <w:pPr>
        <w:jc w:val="both"/>
      </w:pPr>
      <w:r>
        <w:rPr>
          <w:rFonts w:ascii="Arial" w:hAnsi="Arial" w:eastAsia="Arial"/>
          <w:b w:val="0"/>
          <w:color w:val="000000"/>
          <w:sz w:val="20"/>
        </w:rPr>
        <w:t>El rol “admin” permite gestionar aspectos técnicos del espacio, miembros, cámaras y solicitudes. No constituye por sí mismo poder legal para consentir tratamientos de otra persona. El rol “cuidador” habilita determinadas funciones familiares bajo las reglas técnicas del despliegue. El rol “publisher” corresponde a un dispositivo de captura y no debe acceder a datos de cuidado que no necesita. La organización que despliegue ONE será responsable de asignar roles, revisar accesos y retirar credenciales cuando una persona deje de participar.</w:t>
      </w:r>
    </w:p>
    <w:p>
      <w:pPr>
        <w:pStyle w:val="Heading2"/>
      </w:pPr>
      <w:r>
        <w:rPr>
          <w:rFonts w:ascii="Arial" w:hAnsi="Arial" w:eastAsia="Arial"/>
          <w:b/>
          <w:color w:val="000000"/>
          <w:sz w:val="24"/>
        </w:rPr>
        <w:t>18. Uso permitido y protección de terceros</w:t>
      </w:r>
    </w:p>
    <w:p>
      <w:pPr>
        <w:jc w:val="both"/>
      </w:pPr>
      <w:r>
        <w:rPr>
          <w:rFonts w:ascii="Arial" w:hAnsi="Arial" w:eastAsia="Arial"/>
          <w:b w:val="0"/>
          <w:color w:val="000000"/>
          <w:sz w:val="20"/>
        </w:rPr>
        <w:t>La persona usuaria se compromete a:</w:t>
      </w:r>
    </w:p>
    <w:p>
      <w:pPr>
        <w:pStyle w:val="ListBullet"/>
        <w:jc w:val="both"/>
      </w:pPr>
      <w:r>
        <w:rPr>
          <w:rFonts w:ascii="Arial" w:hAnsi="Arial" w:eastAsia="Arial"/>
          <w:b w:val="0"/>
          <w:color w:val="000000"/>
          <w:sz w:val="20"/>
        </w:rPr>
        <w:t>usar ONE para la finalidad de cuidado descrita y de manera respetuosa con dignidad, privacidad y voluntad;</w:t>
      </w:r>
    </w:p>
    <w:p>
      <w:pPr>
        <w:pStyle w:val="ListBullet"/>
        <w:jc w:val="both"/>
      </w:pPr>
      <w:r>
        <w:rPr>
          <w:rFonts w:ascii="Arial" w:hAnsi="Arial" w:eastAsia="Arial"/>
          <w:b w:val="0"/>
          <w:color w:val="000000"/>
          <w:sz w:val="20"/>
        </w:rPr>
        <w:t>instalar y orientar cámaras únicamente en espacios permitidos y necesarios, informar a todas las personas que puedan ser captadas y respetar a trabajadores y visitas;</w:t>
      </w:r>
    </w:p>
    <w:p>
      <w:pPr>
        <w:pStyle w:val="ListBullet"/>
        <w:jc w:val="both"/>
      </w:pPr>
      <w:r>
        <w:rPr>
          <w:rFonts w:ascii="Arial" w:hAnsi="Arial" w:eastAsia="Arial"/>
          <w:b w:val="0"/>
          <w:color w:val="000000"/>
          <w:sz w:val="20"/>
        </w:rPr>
        <w:t>no instalar cámaras en baños, vestidores u otros espacios de intimidad, ni apuntarlas a vía pública, vivienda ajena o espacios comunes salvo habilitación legal;</w:t>
      </w:r>
    </w:p>
    <w:p>
      <w:pPr>
        <w:pStyle w:val="ListBullet"/>
        <w:jc w:val="both"/>
      </w:pPr>
      <w:r>
        <w:rPr>
          <w:rFonts w:ascii="Arial" w:hAnsi="Arial" w:eastAsia="Arial"/>
          <w:b w:val="0"/>
          <w:color w:val="000000"/>
          <w:sz w:val="20"/>
        </w:rPr>
        <w:t>activar audio, reconocimiento facial, ubicación, clips y compartición solo después de revisar su aviso y base jurídica;</w:t>
      </w:r>
    </w:p>
    <w:p>
      <w:pPr>
        <w:pStyle w:val="ListBullet"/>
        <w:jc w:val="both"/>
      </w:pPr>
      <w:r>
        <w:rPr>
          <w:rFonts w:ascii="Arial" w:hAnsi="Arial" w:eastAsia="Arial"/>
          <w:b w:val="0"/>
          <w:color w:val="000000"/>
          <w:sz w:val="20"/>
        </w:rPr>
        <w:t>no usar ONE para vigilancia laboral, control secreto, acoso, discriminación, identificación general de visitantes, entrenamiento de modelos, publicidad o venta de datos;</w:t>
      </w:r>
    </w:p>
    <w:p>
      <w:pPr>
        <w:pStyle w:val="ListBullet"/>
        <w:jc w:val="both"/>
      </w:pPr>
      <w:r>
        <w:rPr>
          <w:rFonts w:ascii="Arial" w:hAnsi="Arial" w:eastAsia="Arial"/>
          <w:b w:val="0"/>
          <w:color w:val="000000"/>
          <w:sz w:val="20"/>
        </w:rPr>
        <w:t>no usar resultados de ONE como prueba única para decisiones médicas, de empleo, seguros, vivienda, beneficios, libertad de movimiento o respuesta a emergencias;</w:t>
      </w:r>
    </w:p>
    <w:p>
      <w:pPr>
        <w:pStyle w:val="ListBullet"/>
        <w:jc w:val="both"/>
      </w:pPr>
      <w:r>
        <w:rPr>
          <w:rFonts w:ascii="Arial" w:hAnsi="Arial" w:eastAsia="Arial"/>
          <w:b w:val="0"/>
          <w:color w:val="000000"/>
          <w:sz w:val="20"/>
        </w:rPr>
        <w:t>corregir registros erróneos que pueda editar, reportar errores de seguridad y no introducir información de terceros sin autoridad o finalidad válida.</w:t>
      </w:r>
    </w:p>
    <w:p>
      <w:pPr>
        <w:jc w:val="both"/>
      </w:pPr>
      <w:r>
        <w:rPr>
          <w:rFonts w:ascii="Arial" w:hAnsi="Arial" w:eastAsia="Arial"/>
          <w:b w:val="0"/>
          <w:color w:val="000000"/>
          <w:sz w:val="20"/>
        </w:rPr>
        <w:t>El titular de una cuenta es responsable de configurar el sistema conforme a la ley aplicable a su actividad, incluidas las obligaciones relativas a trabajadores, residentes, visitantes, señalización, licencias del lugar, consentimiento/representación y seguridad. El Proveedor facilitará herramientas e información técnica, pero no puede determinar por el usuario cuál es su base jurídica, si la captación es proporcionada o si tiene autoridad para tratar datos de otra persona.</w:t>
      </w:r>
    </w:p>
    <w:p>
      <w:pPr>
        <w:pStyle w:val="Heading2"/>
      </w:pPr>
      <w:r>
        <w:rPr>
          <w:rFonts w:ascii="Arial" w:hAnsi="Arial" w:eastAsia="Arial"/>
          <w:b/>
          <w:color w:val="000000"/>
          <w:sz w:val="24"/>
        </w:rPr>
        <w:t>19. No es un servicio de emergencia ni asesoramiento médico</w:t>
      </w:r>
    </w:p>
    <w:p>
      <w:pPr>
        <w:jc w:val="both"/>
      </w:pPr>
      <w:r>
        <w:rPr>
          <w:rFonts w:ascii="Arial" w:hAnsi="Arial" w:eastAsia="Arial"/>
          <w:b w:val="0"/>
          <w:color w:val="000000"/>
          <w:sz w:val="20"/>
        </w:rPr>
        <w:t>ONE no garantiza que detecte una caída, un objeto, una salida, una ausencia o una toma de medicación. La disponibilidad de red, cámara, modelo, batería, permisos, luz, almacenamiento y configuración puede afectar a los resultados. No se garantiza monitorización humana permanente ni que una alerta llegue a tiempo. Para emergencias, se usarán los servicios locales de emergencia y planes de cuidado independientes de ONE.</w:t>
      </w:r>
    </w:p>
    <w:p>
      <w:pPr>
        <w:jc w:val="both"/>
      </w:pPr>
      <w:r>
        <w:rPr>
          <w:rFonts w:ascii="Arial" w:hAnsi="Arial" w:eastAsia="Arial"/>
          <w:b w:val="0"/>
          <w:color w:val="000000"/>
          <w:sz w:val="20"/>
        </w:rPr>
        <w:t>No se debe cambiar, iniciar o suspender medicación a partir de un resumen. La persona responsable del cuidado verificará dosis, horarios e instrucciones con la persona y, cuando corresponda, con un profesional sanitario. Los estados “tomada”, “omitida” o “perdida” son registros administrativos declarados por una persona, no verificación física ni prescripción.</w:t>
      </w:r>
    </w:p>
    <w:p>
      <w:pPr>
        <w:pStyle w:val="Heading2"/>
      </w:pPr>
      <w:r>
        <w:rPr>
          <w:rFonts w:ascii="Arial" w:hAnsi="Arial" w:eastAsia="Arial"/>
          <w:b/>
          <w:color w:val="000000"/>
          <w:sz w:val="24"/>
        </w:rPr>
        <w:t>20. IA y contenido introducido por el usuario</w:t>
      </w:r>
    </w:p>
    <w:p>
      <w:pPr>
        <w:jc w:val="both"/>
      </w:pPr>
      <w:r>
        <w:rPr>
          <w:rFonts w:ascii="Arial" w:hAnsi="Arial" w:eastAsia="Arial"/>
          <w:b w:val="0"/>
          <w:color w:val="000000"/>
          <w:sz w:val="20"/>
        </w:rPr>
        <w:t>Las respuestas de ONE pueden generarse automáticamente. La pantalla debe identificar claramente al asistente como IA cuando la ley lo exija y explicar el contexto usado. El usuario conserva responsabilidad sobre el texto, fotos, mapas e información que aporta y debe contar con los derechos/autorizaciones necesarios para utilizarlos.</w:t>
      </w:r>
    </w:p>
    <w:p>
      <w:pPr>
        <w:jc w:val="both"/>
      </w:pPr>
      <w:r>
        <w:rPr>
          <w:rFonts w:ascii="Arial" w:hAnsi="Arial" w:eastAsia="Arial"/>
          <w:b w:val="0"/>
          <w:color w:val="000000"/>
          <w:sz w:val="20"/>
        </w:rPr>
        <w:t>El Proveedor no utilizará datos de hogares para publicidad o entrenamiento general de modelos salvo base separada válida, transparencia y opción/consentimiento cuando corresponda. Las funciones no deben enviar contenido a un proveedor externo sin que el operador lo configure y actualice el aviso de privacidad y el listado de destinatarios.</w:t>
      </w:r>
    </w:p>
    <w:p>
      <w:pPr>
        <w:pStyle w:val="Heading2"/>
      </w:pPr>
      <w:r>
        <w:rPr>
          <w:rFonts w:ascii="Arial" w:hAnsi="Arial" w:eastAsia="Arial"/>
          <w:b/>
          <w:color w:val="000000"/>
          <w:sz w:val="24"/>
        </w:rPr>
        <w:t>21. Propiedad intelectual y licencia</w:t>
      </w:r>
    </w:p>
    <w:p>
      <w:pPr>
        <w:jc w:val="both"/>
      </w:pPr>
      <w:r>
        <w:rPr>
          <w:rFonts w:ascii="Arial" w:hAnsi="Arial" w:eastAsia="Arial"/>
          <w:b w:val="0"/>
          <w:color w:val="000000"/>
          <w:sz w:val="20"/>
        </w:rPr>
        <w:t>El Proveedor o sus licenciantes conservan sus derechos sobre software, marcas, diseños y documentación. Mientras la persona tenga acceso al servicio, puede utilizar las apps y funciones ONE de acuerdo con estos términos y las condiciones de su instalación. El usuario conserva los derechos que tenga sobre datos y contenidos aportados. Para prestar el servicio, autoriza únicamente las operaciones técnicas necesarias descritas en el aviso y contrato de encargo; esta autorización no transfiere la propiedad ni permite un uso secundario.</w:t>
      </w:r>
    </w:p>
    <w:p>
      <w:pPr>
        <w:jc w:val="both"/>
      </w:pPr>
      <w:r>
        <w:rPr>
          <w:rFonts w:ascii="Arial" w:hAnsi="Arial" w:eastAsia="Arial"/>
          <w:b w:val="0"/>
          <w:color w:val="000000"/>
          <w:sz w:val="20"/>
        </w:rPr>
        <w:t>El software libre, las dependencias, los modelos y los datos de terceros siguen sujetos a sus respectivas licencias.</w:t>
      </w:r>
    </w:p>
    <w:p>
      <w:pPr>
        <w:pStyle w:val="Heading2"/>
      </w:pPr>
      <w:r>
        <w:rPr>
          <w:rFonts w:ascii="Arial" w:hAnsi="Arial" w:eastAsia="Arial"/>
          <w:b/>
          <w:color w:val="000000"/>
          <w:sz w:val="24"/>
        </w:rPr>
        <w:t>22. Precio, contratación y derechos de consumidores</w:t>
      </w:r>
    </w:p>
    <w:p>
      <w:pPr>
        <w:jc w:val="both"/>
      </w:pPr>
      <w:r>
        <w:t>Antes de contratar se indicarán, en la oferta correspondiente, el precio total con impuestos, periodicidad, renovación, duración mínima, cancelación, medios de pago, soporte, compatibilidad, interoperabilidad y procedimiento para corregir errores. La oferta señalará expresamente si el servicio es gratuito, piloto o de pago y sus condiciones.</w:t>
      </w:r>
    </w:p>
    <w:p>
      <w:pPr>
        <w:jc w:val="both"/>
      </w:pPr>
      <w:r>
        <w:t>En contratos a distancia con consumidores se informará del derecho de desistimiento de 14 días y de las excepciones legales aplicables. Cuando la ley permita empezar a prestar el servicio durante ese plazo, se recabará antes la solicitud expresa y el reconocimiento exigido; una casilla genérica no basta para suprimir el derecho. Se respetarán los derechos imperativos de conformidad, actualización, modificación y terminación de contenidos y servicios digitales. Nada en estos términos limita derechos legales.</w:t>
      </w:r>
    </w:p>
    <w:p>
      <w:pPr>
        <w:pStyle w:val="Heading2"/>
      </w:pPr>
      <w:r>
        <w:rPr>
          <w:rFonts w:ascii="Arial" w:hAnsi="Arial" w:eastAsia="Arial"/>
          <w:b/>
          <w:color w:val="000000"/>
          <w:sz w:val="24"/>
        </w:rPr>
        <w:t>23. Disponibilidad, cambios y suspensión</w:t>
      </w:r>
    </w:p>
    <w:p>
      <w:pPr>
        <w:jc w:val="both"/>
      </w:pPr>
      <w:r>
        <w:rPr>
          <w:rFonts w:ascii="Arial" w:hAnsi="Arial" w:eastAsia="Arial"/>
          <w:b w:val="0"/>
          <w:color w:val="000000"/>
          <w:sz w:val="20"/>
        </w:rPr>
        <w:t>El Proveedor puede mantener, corregir o actualizar ONE y avisará de cambios importantes que afecten materialmente a funciones, compatibilidad, seguridad, privacidad o precio. La organización desplegadora no debe activar una actualización con nueva finalidad de tratamiento sin revisar el aviso, la EIPD, bases y contratos.</w:t>
      </w:r>
    </w:p>
    <w:p>
      <w:pPr>
        <w:jc w:val="both"/>
      </w:pPr>
      <w:r>
        <w:rPr>
          <w:rFonts w:ascii="Arial" w:hAnsi="Arial" w:eastAsia="Arial"/>
          <w:b w:val="0"/>
          <w:color w:val="000000"/>
          <w:sz w:val="20"/>
        </w:rPr>
        <w:t>Se podrá limitar temporalmente una cuenta o función ante una amenaza concreta de seguridad, abuso, incumplimiento legal o riesgo para terceros. La medida se limitará al alcance y tiempo necesarios, se notificará cuando la ley lo permita y habrá canal para reclamar. Retirar el consentimiento o el permiso de una función sensible no debe producir una penalización desproporcionada si existen funciones alternativas.</w:t>
      </w:r>
    </w:p>
    <w:p>
      <w:pPr>
        <w:pStyle w:val="Heading2"/>
      </w:pPr>
      <w:r>
        <w:rPr>
          <w:rFonts w:ascii="Arial" w:hAnsi="Arial" w:eastAsia="Arial"/>
          <w:b/>
          <w:color w:val="000000"/>
          <w:sz w:val="24"/>
        </w:rPr>
        <w:t>24. Fin de uso, exportación y borrado</w:t>
      </w:r>
    </w:p>
    <w:p>
      <w:pPr>
        <w:jc w:val="both"/>
      </w:pPr>
      <w:r>
        <w:t>El usuario puede dejar de usar ONE, cerrar sesión, desactivar funciones y solicitar acceso, exportación o eliminación a través del canal de privacidad indicado en la información legal de su instalación. La terminación del contrato no elimina necesariamente los datos de inmediato; se aplicarán los plazos del aviso y obligaciones legales. El responsable coordinará la devolución o el borrado de datos con encargados y copias de seguridad.</w:t>
      </w:r>
    </w:p>
    <w:p>
      <w:pPr>
        <w:jc w:val="both"/>
      </w:pPr>
      <w:r>
        <w:t>Las herramientas de descarga y supresión disponibles no entregan un paquete completo de medios ni acreditan la eliminación de todos los artefactos externos. No se ofrecerán como exportación o borrado individual íntegro. Las solicitudes se recibirán por el canal de privacidad, con verificación proporcionada y revisión de copias, proveedores y datos de otras personas.</w:t>
      </w:r>
    </w:p>
    <w:p>
      <w:pPr>
        <w:pStyle w:val="Heading2"/>
      </w:pPr>
      <w:r>
        <w:rPr>
          <w:rFonts w:ascii="Arial" w:hAnsi="Arial" w:eastAsia="Arial"/>
          <w:b/>
          <w:color w:val="000000"/>
          <w:sz w:val="24"/>
        </w:rPr>
        <w:t>25. Garantías, responsabilidad y reclamaciones</w:t>
      </w:r>
    </w:p>
    <w:p>
      <w:pPr>
        <w:jc w:val="both"/>
      </w:pPr>
      <w:r>
        <w:rPr>
          <w:rFonts w:ascii="Arial" w:hAnsi="Arial" w:eastAsia="Arial"/>
          <w:b w:val="0"/>
          <w:color w:val="000000"/>
          <w:sz w:val="20"/>
        </w:rPr>
        <w:t>El servicio se ofrece con las garantías que resulten del contrato y de la ley. Nada de estos términos excluye responsabilidad por dolo, fraude, lesiones causadas por negligencia cuando no sea legalmente excluible, incumplimiento de derechos de consumidores, responsabilidad del producto u otras responsabilidades que no puedan limitarse.</w:t>
      </w:r>
    </w:p>
    <w:p>
      <w:pPr>
        <w:jc w:val="both"/>
      </w:pPr>
      <w:r>
        <w:rPr>
          <w:rFonts w:ascii="Arial" w:hAnsi="Arial" w:eastAsia="Arial"/>
          <w:b w:val="0"/>
          <w:color w:val="000000"/>
          <w:sz w:val="20"/>
        </w:rPr>
        <w:t>La responsabilidad de cada parte se rige por el contrato y la legislación aplicable. No se excluyen derechos de consumidores ni responsabilidades que no puedan limitarse por ley. No se atribuirá al usuario toda responsabilidad por un fallo técnico ni se presentarán avisos como sustituto de un diseño seguro.</w:t>
      </w:r>
    </w:p>
    <w:p>
      <w:pPr>
        <w:jc w:val="both"/>
      </w:pPr>
      <w:r>
        <w:rPr>
          <w:rFonts w:ascii="Arial" w:hAnsi="Arial" w:eastAsia="Arial"/>
          <w:b w:val="0"/>
          <w:color w:val="000000"/>
          <w:sz w:val="20"/>
        </w:rPr>
        <w:t>Las consultas y reclamaciones del servicio se presentan a través del canal de soporte o reclamaciones comunicado por el Proveedor o por la organización que administra ONE. Cuando se dirige a consumidores, se mantienen disponibles los sistemas de reclamación y las autoridades competentes que establezca la ley.</w:t>
      </w:r>
    </w:p>
    <w:p>
      <w:pPr>
        <w:pStyle w:val="Heading2"/>
      </w:pPr>
      <w:r>
        <w:rPr>
          <w:rFonts w:ascii="Arial" w:hAnsi="Arial" w:eastAsia="Arial"/>
          <w:b/>
          <w:color w:val="000000"/>
          <w:sz w:val="24"/>
        </w:rPr>
        <w:t>26. Ley y jurisdicción</w:t>
      </w:r>
    </w:p>
    <w:p>
      <w:pPr>
        <w:jc w:val="both"/>
      </w:pPr>
      <w:r>
        <w:t>La ley aplicable y los tribunales competentes se determinarán conforme al contrato y a las normas imperativas del país de residencia de la persona usuaria. Los consumidores mantienen las protecciones y fueros que les reconoce la ley, incluido el derecho a acudir a sus tribunales competentes cuando así corresponda.</w:t>
      </w:r>
    </w:p>
    <w:p>
      <w:pPr>
        <w:pStyle w:val="Heading2"/>
      </w:pPr>
      <w:r>
        <w:rPr>
          <w:rFonts w:ascii="Arial" w:hAnsi="Arial" w:eastAsia="Arial"/>
          <w:b/>
          <w:color w:val="000000"/>
          <w:sz w:val="24"/>
        </w:rPr>
        <w:t>Normativa de referencia</w:t>
      </w:r>
    </w:p>
    <w:p>
      <w:pPr>
        <w:jc w:val="both"/>
      </w:pPr>
      <w:r>
        <w:rPr>
          <w:rFonts w:ascii="Arial" w:hAnsi="Arial" w:eastAsia="Arial"/>
          <w:b w:val="0"/>
          <w:color w:val="000000"/>
          <w:sz w:val="20"/>
        </w:rPr>
        <w:t>La aplicación de las normas depende del servicio, la finalidad, las personas afectadas y el país. Este documento debe interpretarse de acuerdo con las disposiciones imperativas aplicables.</w:t>
      </w:r>
    </w:p>
    <w:p>
      <w:pPr>
        <w:pStyle w:val="ListBullet"/>
        <w:jc w:val="both"/>
      </w:pPr>
      <w:r>
        <w:t>Reglamento General de Protección de Datos, Reglamento (UE) 2016/679 y, en España, Ley Orgánica 3/2018.</w:t>
      </w:r>
      <w:r>
        <w:t xml:space="preserve"> Fuente oficial: </w:t>
      </w:r>
      <w:hyperlink r:id="rId27">
        <w:r>
          <w:rPr>
            <w:color w:val="000000"/>
            <w:u w:val="single"/>
          </w:rPr>
          <w:t xml:space="preserve">Reglamento (UE) 2016/679</w:t>
        </w:r>
      </w:hyperlink>
    </w:p>
    <w:p>
      <w:pPr>
        <w:pStyle w:val="ListBullet"/>
        <w:jc w:val="both"/>
      </w:pPr>
      <w:r>
        <w:t>Directrices del CEPD sobre consentimiento, evaluaciones de impacto y dispositivos de vídeo; orientaciones de la AEPD de junio de 2026 sobre cámaras en hogares de personas mayores y personal de cuidados.</w:t>
      </w:r>
      <w:r>
        <w:t xml:space="preserve"> Fuente oficial: </w:t>
      </w:r>
      <w:hyperlink r:id="rId28">
        <w:r>
          <w:rPr>
            <w:color w:val="000000"/>
            <w:u w:val="single"/>
          </w:rPr>
          <w:t xml:space="preserve">Orientaciones de la AEPD</w:t>
        </w:r>
      </w:hyperlink>
    </w:p>
    <w:p>
      <w:pPr>
        <w:pStyle w:val="ListBullet"/>
        <w:jc w:val="both"/>
      </w:pPr>
      <w:r>
        <w:t>Reglamento (UE) 2017/745 sobre productos sanitarios, cuando la finalidad prevista de una función sea médica.</w:t>
      </w:r>
      <w:r>
        <w:t xml:space="preserve"> Fuente oficial: </w:t>
      </w:r>
      <w:hyperlink r:id="rId29">
        <w:r>
          <w:rPr>
            <w:color w:val="000000"/>
            <w:u w:val="single"/>
          </w:rPr>
          <w:t xml:space="preserve">Reglamento (UE) 2017/745</w:t>
        </w:r>
      </w:hyperlink>
    </w:p>
    <w:p>
      <w:pPr>
        <w:pStyle w:val="ListBullet"/>
        <w:jc w:val="both"/>
      </w:pPr>
      <w:r>
        <w:t>Reglamentos (UE) 2024/1689 y (UE) 2026/1744 sobre inteligencia artificial; clasificación y calendario según finalidad y uso.</w:t>
      </w:r>
      <w:r>
        <w:t xml:space="preserve"> Fuente oficial: </w:t>
      </w:r>
      <w:hyperlink r:id="rId30">
        <w:r>
          <w:rPr>
            <w:color w:val="000000"/>
            <w:u w:val="single"/>
          </w:rPr>
          <w:t xml:space="preserve">Reglamento (UE) 2026/1744</w:t>
        </w:r>
      </w:hyperlink>
    </w:p>
    <w:p>
      <w:pPr>
        <w:pStyle w:val="ListBullet"/>
        <w:jc w:val="both"/>
      </w:pPr>
      <w:r>
        <w:t>Directiva 2002/58/CE y Ley 34/2002, incluida la regla sobre almacenamiento o acceso a información del terminal.</w:t>
      </w:r>
      <w:r>
        <w:t xml:space="preserve"> Fuente oficial: </w:t>
      </w:r>
      <w:hyperlink r:id="rId31">
        <w:r>
          <w:rPr>
            <w:color w:val="000000"/>
            <w:u w:val="single"/>
          </w:rPr>
          <w:t xml:space="preserve">Ley 34/2002, artículo 22.2</w:t>
        </w:r>
      </w:hyperlink>
    </w:p>
    <w:p>
      <w:pPr>
        <w:pStyle w:val="ListBullet"/>
        <w:jc w:val="both"/>
      </w:pPr>
      <w:r>
        <w:t>Texto refundido de la Ley General para la Defensa de los Consumidores y Usuarios, incluido el régimen de contratación a distancia y contenidos o servicios digitales.</w:t>
      </w:r>
      <w:r>
        <w:t xml:space="preserve"> Fuente oficial: </w:t>
      </w:r>
      <w:hyperlink r:id="rId32">
        <w:r>
          <w:rPr>
            <w:color w:val="000000"/>
            <w:u w:val="single"/>
          </w:rPr>
          <w:t xml:space="preserve">Real Decreto Legislativo 1/2007</w:t>
        </w:r>
      </w:hyperlink>
    </w:p>
    <w:p>
      <w:pPr>
        <w:pStyle w:val="ListBullet"/>
        <w:jc w:val="both"/>
      </w:pPr>
      <w:r>
        <w:t>Directiva (UE) 2019/882 y Ley 11/2023 sobre requisitos de accesibilidad, cuando el servicio o producto quede en su ámbito.</w:t>
      </w:r>
      <w:r>
        <w:t xml:space="preserve"> Fuente oficial: </w:t>
      </w:r>
      <w:hyperlink r:id="rId33">
        <w:r>
          <w:rPr>
            <w:color w:val="000000"/>
            <w:u w:val="single"/>
          </w:rPr>
          <w:t xml:space="preserve">Directiva (UE) 2019/882</w:t>
        </w:r>
      </w:hyperlink>
    </w:p>
    <w:p>
      <w:pPr>
        <w:pStyle w:val="ListBullet"/>
        <w:jc w:val="both"/>
      </w:pPr>
      <w:r>
        <w:t>Reglamento (UE) 2023/2854 (Data Act), aplicable desde el 12 de septiembre de 2025; las obligaciones de diseño del artículo 3 dependen, entre otros factores, de la fecha de comercialización del producto o servicio relacionado.</w:t>
      </w:r>
      <w:r>
        <w:t xml:space="preserve"> Fuente oficial: </w:t>
      </w:r>
      <w:hyperlink r:id="rId34">
        <w:r>
          <w:rPr>
            <w:color w:val="000000"/>
            <w:u w:val="single"/>
          </w:rPr>
          <w:t xml:space="preserve">Reglamento (UE) 2023/2854</w:t>
        </w:r>
      </w:hyperlink>
    </w:p>
    <w:p>
      <w:pPr>
        <w:pStyle w:val="ListBullet"/>
        <w:jc w:val="both"/>
      </w:pPr>
      <w:r>
        <w:t>Reglamento (UE) 2024/2847 (Cyber Resilience Act): las obligaciones de notificación del artículo 14 son aplicables desde el 11 de septiembre de 2026; la aplicación general comienza el 11 de diciembre de 2027.</w:t>
      </w:r>
      <w:r>
        <w:t xml:space="preserve"> Fuente oficial: </w:t>
      </w:r>
      <w:hyperlink r:id="rId35">
        <w:r>
          <w:rPr>
            <w:color w:val="000000"/>
            <w:u w:val="single"/>
          </w:rPr>
          <w:t xml:space="preserve">Reglamento (UE) 2024/2847</w:t>
        </w:r>
      </w:hyperlink>
    </w:p>
    <w:p>
      <w:pPr>
        <w:jc w:val="both"/>
      </w:pPr>
      <w:r>
        <w:t>La normativa nacional sobre salud, servicios sociales, empleo, capacidad y apoyos, investigación y teleasistencia puede aplicar según la finalidad y el uso real.</w:t>
      </w:r>
    </w:p>
    <w:sectPr w:rsidR="00FC693F" w:rsidRPr="0006063C" w:rsidSect="00034616">
      <w:footerReference w:type="default" r:id="rId26"/>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olor w:val="000000"/>
        <w:sz w:val="17"/>
      </w:rPr>
      <w:t xml:space="preserve">ONE  |  Términos de uso y aviso de privacidad  |  Página </w:t>
    </w:r>
    <w:fldSimple w:instr="PAGE">
      <w:r>
        <w:rPr>
          <w:color w:val="000000"/>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widowControl/>
      <ns0:spacing ns0:after="120" ns0:line="271" ns0:lineRule="auto"/>
      <ns0:jc ns0:val="both"/>
    </ns0:pPr>
    <ns0:rPr>
      <ns0:rFonts ns0:ascii="Arial" ns0:hAnsi="Arial"/>
      <ns0:color ns0:val="000000"/>
      <ns0:sz ns0:val="20"/>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260" ns0:after="120"/>
      <ns0:jc ns0:val="left"/>
      <ns0:outlineLvl ns0:val="0"/>
    </ns0:pPr>
    <ns0:rPr>
      <ns0:rFonts ns0:asciiTheme="majorHAnsi" ns0:eastAsiaTheme="majorEastAsia" ns0:hAnsiTheme="majorHAnsi" ns0:cstheme="majorBidi" ns0:ascii="Arial" ns0:hAnsi="Arial"/>
      <ns0:b/>
      <ns0:bCs/>
      <ns0:color ns0:val="000000"/>
      <ns0:sz ns0:val="30"/>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after="80"/>
      <ns0:jc ns0:val="left"/>
      <ns0:outlineLvl ns0:val="1"/>
    </ns0:pPr>
    <ns0:rPr>
      <ns0:rFonts ns0:asciiTheme="majorHAnsi" ns0:eastAsiaTheme="majorEastAsia" ns0:hAnsiTheme="majorHAnsi" ns0:cstheme="majorBidi" ns0:ascii="Arial" ns0:hAnsi="Arial"/>
      <ns0:b/>
      <ns0:bCs/>
      <ns0:color ns0:val="000000"/>
      <ns0:sz ns0:val="24"/>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60"/>
      <ns0:jc ns0:val="left"/>
      <ns0:outlineLvl ns0:val="2"/>
    </ns0:pPr>
    <ns0:rPr>
      <ns0:rFonts ns0:asciiTheme="majorHAnsi" ns0:eastAsiaTheme="majorEastAsia" ns0:hAnsiTheme="majorHAnsi" ns0:cstheme="majorBidi" ns0:ascii="Arial" ns0:hAnsi="Arial"/>
      <ns0:b/>
      <ns0:bCs/>
      <ns0:color ns0:val="000000"/>
      <ns0:sz ns0:val="2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000000"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000000"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000000"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000000"/>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000000"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000000"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000000"/>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000000"/>
    </ns0:rPr>
  </ns0:style>
  <ns0:style ns0:type="paragraph" ns0:styleId="Title">
    <ns0:name ns0:val="Title"/>
    <ns0:basedOn ns0:val="Normal"/>
    <ns0:next ns0:val="Normal"/>
    <ns0:link ns0:val="TitleChar"/>
    <ns0:uiPriority ns0:val="10"/>
    <ns0:qFormat/>
    <ns0:rsid ns0:val="00FC693F"/>
    <ns0:pPr>
      <ns0:keepNext/>
      <ns0:spacing ns0:after="140" ns0:line="240" ns0:lineRule="auto"/>
      <ns0:contextualSpacing/>
      <ns0:jc ns0:val="left"/>
    </ns0:pPr>
    <ns0:rPr>
      <ns0:rFonts ns0:asciiTheme="majorHAnsi" ns0:eastAsiaTheme="majorEastAsia" ns0:hAnsiTheme="majorHAnsi" ns0:cstheme="majorBidi" ns0:ascii="Arial" ns0:hAnsi="Arial"/>
      <ns0:b/>
      <ns0:color ns0:val="000000"/>
      <ns0:spacing ns0:val="5"/>
      <ns0:kern ns0:val="28"/>
      <ns0:sz ns0:val="46"/>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000000"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000000"/>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000000"/>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spacing ns0:after="60" ns0:line="264" ns0:lineRule="auto"/>
      <ns0:ind ns0:left="403" ns0:hanging="230"/>
      <ns0:contextualSpacing/>
      <ns0:jc ns0:val="both"/>
    </ns0:pPr>
    <ns0:rPr>
      <ns0:rFonts ns0:ascii="Arial" ns0:hAnsi="Arial"/>
      <ns0:color ns0:val="000000"/>
      <ns0:sz ns0:val="20"/>
    </ns0:r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rPr>
  </ns0:style>
  <ns0:style ns0:type="character" ns0:customStyle="1" ns0:styleId="QuoteChar">
    <ns0:name ns0:val="Quote Char"/>
    <ns0:basedOn ns0:val="DefaultParagraphFont"/>
    <ns0:link ns0:val="Quote"/>
    <ns0:uiPriority ns0:val="29"/>
    <ns0:rsid ns0:val="00FC693F"/>
    <ns0:rPr>
      <ns0:i/>
      <ns0:iCs/>
      <ns0:color ns0:val="000000"/>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000000"/>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000000"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000000"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000000"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000000"/>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000000"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000000"/>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000000"/>
    </ns0:rPr>
  </ns0:style>
  <ns0:style ns0:type="character" ns0:customStyle="1" ns0:styleId="IntenseQuoteChar">
    <ns0:name ns0:val="Intense Quote Char"/>
    <ns0:basedOn ns0:val="DefaultParagraphFont"/>
    <ns0:link ns0:val="IntenseQuote"/>
    <ns0:uiPriority ns0:val="30"/>
    <ns0:rsid ns0:val="00FC693F"/>
    <ns0:rPr>
      <ns0:b/>
      <ns0:bCs/>
      <ns0:i/>
      <ns0:iCs/>
      <ns0:color ns0:val="000000"/>
    </ns0:rPr>
  </ns0:style>
  <ns0:style ns0:type="character" ns0:styleId="SubtleEmphasis">
    <ns0:name ns0:val="Subtle Emphasis"/>
    <ns0:basedOn ns0:val="DefaultParagraphFont"/>
    <ns0:uiPriority ns0:val="19"/>
    <ns0:qFormat/>
    <ns0:rsid ns0:val="00FC693F"/>
    <ns0:rPr>
      <ns0:i/>
      <ns0:iCs/>
      <ns0:color ns0:val="000000" ns0:themeTint="7F"/>
    </ns0:rPr>
  </ns0:style>
  <ns0:style ns0:type="character" ns0:styleId="IntenseEmphasis">
    <ns0:name ns0:val="Intense Emphasis"/>
    <ns0:basedOn ns0:val="DefaultParagraphFont"/>
    <ns0:uiPriority ns0:val="21"/>
    <ns0:qFormat/>
    <ns0:rsid ns0:val="00FC693F"/>
    <ns0:rPr>
      <ns0:b/>
      <ns0:bCs/>
      <ns0:i/>
      <ns0:iCs/>
      <ns0:color ns0:val="000000"/>
    </ns0:rPr>
  </ns0:style>
  <ns0:style ns0:type="character" ns0:styleId="SubtleReference">
    <ns0:name ns0:val="Subtle Reference"/>
    <ns0:basedOn ns0:val="DefaultParagraphFont"/>
    <ns0:uiPriority ns0:val="31"/>
    <ns0:qFormat/>
    <ns0:rsid ns0:val="00FC693F"/>
    <ns0:rPr>
      <ns0:smallCaps/>
      <ns0:color ns0:val="000000"/>
      <ns0:u ns0:val="single"/>
    </ns0:rPr>
  </ns0:style>
  <ns0:style ns0:type="character" ns0:styleId="IntenseReference">
    <ns0:name ns0:val="Intense Reference"/>
    <ns0:basedOn ns0:val="DefaultParagraphFont"/>
    <ns0:uiPriority ns0:val="32"/>
    <ns0:qFormat/>
    <ns0:rsid ns0:val="00FC693F"/>
    <ns0:rPr>
      <ns0:b/>
      <ns0:bCs/>
      <ns0:smallCaps/>
      <ns0:color ns0:val="000000"/>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FFFFF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FFFFF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FFFFF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FFFFF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FFFFF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FFFFF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FFFFF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FFFFF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FFFFF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FFFFF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FFFFF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FFFFF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FFFF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FFFF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000000"/>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000000"/>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000000"/>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000000"/>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000000"/>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000000"/>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000000"/>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FFFFFF"/>
      </ns0:tcPr>
    </ns0:tblStylePr>
    <ns0:tblStylePr ns0:type="nwCell">
      <ns0:tblPr/>
      <ns0:tcPr>
        <ns0:shd ns0:val="clear" ns0:color="auto" ns0:fill="FFFFFF"/>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FFFFFF"/>
      </ns0:tcPr>
    </ns0:tblStylePr>
    <ns0:tblStylePr ns0:type="nwCell">
      <ns0:tblPr/>
      <ns0:tcPr>
        <ns0:shd ns0:val="clear" ns0:color="auto" ns0:fill="FFFFFF"/>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FFFFFF"/>
      </ns0:tcPr>
    </ns0:tblStylePr>
    <ns0:tblStylePr ns0:type="nwCell">
      <ns0:tblPr/>
      <ns0:tcPr>
        <ns0:shd ns0:val="clear" ns0:color="auto" ns0:fill="FFFFFF"/>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FFFFFF"/>
      </ns0:tcPr>
    </ns0:tblStylePr>
    <ns0:tblStylePr ns0:type="nwCell">
      <ns0:tblPr/>
      <ns0:tcPr>
        <ns0:shd ns0:val="clear" ns0:color="auto" ns0:fill="FFFFFF"/>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FFFFFF"/>
      </ns0:tcPr>
    </ns0:tblStylePr>
    <ns0:tblStylePr ns0:type="nwCell">
      <ns0:tblPr/>
      <ns0:tcPr>
        <ns0:shd ns0:val="clear" ns0:color="auto" ns0:fill="FFFFFF"/>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FFFFFF"/>
      </ns0:tcPr>
    </ns0:tblStylePr>
    <ns0:tblStylePr ns0:type="nwCell">
      <ns0:tblPr/>
      <ns0:tcPr>
        <ns0:shd ns0:val="clear" ns0:color="auto" ns0:fill="FFFFFF"/>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FFFFF"/>
      </ns0:tcPr>
    </ns0:tblStylePr>
    <ns0:tblStylePr ns0:type="nwCell">
      <ns0:tblPr/>
      <ns0:tcPr>
        <ns0:shd ns0:val="clear" ns0:color="auto" ns0:fill="FFFFFF"/>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DarkList">
    <ns0:name ns0:val="Dark List"/>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1">
    <ns0:name ns0:val="Dark List Accent 1"/>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2">
    <ns0:name ns0:val="Dark List Accent 2"/>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3">
    <ns0:name ns0:val="Dark List Accent 3"/>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4">
    <ns0:name ns0:val="Dark List Accent 4"/>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5">
    <ns0:name ns0:val="Dark List Accent 5"/>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6">
    <ns0:name ns0:val="Dark List Accent 6"/>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000000" ns0:themeColor="tex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C4C74" ns0:themeColor="accen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772C2A" ns0:themeColor="accent2"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5E7530" ns0:themeColor="accent3"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4C3B62" ns0:themeColor="accent4"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76A7C" ns0:themeColor="accent5"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B65608" ns0:themeColor="accent6"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List">
    <ns0:name ns0:val="Colorful List"/>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Grid">
    <ns0:name ns0:val="Colorful Grid"/>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000000"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000000"/>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000000"/>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000000"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000000"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000000"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000000"/>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000000"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000000"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000000"/>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000000"/>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color ns0:val="000000"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000000"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000000"/>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000000"/>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rPr>
  </ns0:style>
  <ns0:style ns0:type="character" ns0:customStyle="1" ns0:styleId="QuoteChar">
    <ns0:name ns0:val="Quote Char"/>
    <ns0:basedOn ns0:val="DefaultParagraphFont"/>
    <ns0:link ns0:val="Quote"/>
    <ns0:uiPriority ns0:val="29"/>
    <ns0:rsid ns0:val="00FC693F"/>
    <ns0:rPr>
      <ns0:i/>
      <ns0:iCs/>
      <ns0:color ns0:val="000000"/>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000000"/>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000000"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000000"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000000"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000000"/>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000000"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000000"/>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000000"/>
    </ns0:rPr>
  </ns0:style>
  <ns0:style ns0:type="character" ns0:customStyle="1" ns0:styleId="IntenseQuoteChar">
    <ns0:name ns0:val="Intense Quote Char"/>
    <ns0:basedOn ns0:val="DefaultParagraphFont"/>
    <ns0:link ns0:val="IntenseQuote"/>
    <ns0:uiPriority ns0:val="30"/>
    <ns0:rsid ns0:val="00FC693F"/>
    <ns0:rPr>
      <ns0:b/>
      <ns0:bCs/>
      <ns0:i/>
      <ns0:iCs/>
      <ns0:color ns0:val="000000"/>
    </ns0:rPr>
  </ns0:style>
  <ns0:style ns0:type="character" ns0:styleId="SubtleEmphasis">
    <ns0:name ns0:val="Subtle Emphasis"/>
    <ns0:basedOn ns0:val="DefaultParagraphFont"/>
    <ns0:uiPriority ns0:val="19"/>
    <ns0:qFormat/>
    <ns0:rsid ns0:val="00FC693F"/>
    <ns0:rPr>
      <ns0:i/>
      <ns0:iCs/>
      <ns0:color ns0:val="000000" ns0:themeTint="7F"/>
    </ns0:rPr>
  </ns0:style>
  <ns0:style ns0:type="character" ns0:styleId="IntenseEmphasis">
    <ns0:name ns0:val="Intense Emphasis"/>
    <ns0:basedOn ns0:val="DefaultParagraphFont"/>
    <ns0:uiPriority ns0:val="21"/>
    <ns0:qFormat/>
    <ns0:rsid ns0:val="00FC693F"/>
    <ns0:rPr>
      <ns0:b/>
      <ns0:bCs/>
      <ns0:i/>
      <ns0:iCs/>
      <ns0:color ns0:val="000000"/>
    </ns0:rPr>
  </ns0:style>
  <ns0:style ns0:type="character" ns0:styleId="SubtleReference">
    <ns0:name ns0:val="Subtle Reference"/>
    <ns0:basedOn ns0:val="DefaultParagraphFont"/>
    <ns0:uiPriority ns0:val="31"/>
    <ns0:qFormat/>
    <ns0:rsid ns0:val="00FC693F"/>
    <ns0:rPr>
      <ns0:smallCaps/>
      <ns0:color ns0:val="000000"/>
      <ns0:u ns0:val="single"/>
    </ns0:rPr>
  </ns0:style>
  <ns0:style ns0:type="character" ns0:styleId="IntenseReference">
    <ns0:name ns0:val="Intense Reference"/>
    <ns0:basedOn ns0:val="DefaultParagraphFont"/>
    <ns0:uiPriority ns0:val="32"/>
    <ns0:qFormat/>
    <ns0:rsid ns0:val="00FC693F"/>
    <ns0:rPr>
      <ns0:b/>
      <ns0:bCs/>
      <ns0:smallCaps/>
      <ns0:color ns0:val="000000"/>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FFFFF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FFFFF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FFFFF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FFFFF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FFFFF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FFFFF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FFFFF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FFFFF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FFFFF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FFFFF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FFFFF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FFFFF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FFFF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FFFF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000000"/>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000000"/>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000000"/>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000000"/>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000000"/>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000000"/>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000000"/>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FFFFFF"/>
      </ns0:tcPr>
    </ns0:tblStylePr>
    <ns0:tblStylePr ns0:type="nwCell">
      <ns0:tblPr/>
      <ns0:tcPr>
        <ns0:shd ns0:val="clear" ns0:color="auto" ns0:fill="FFFFFF"/>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FFFFFF"/>
      </ns0:tcPr>
    </ns0:tblStylePr>
    <ns0:tblStylePr ns0:type="nwCell">
      <ns0:tblPr/>
      <ns0:tcPr>
        <ns0:shd ns0:val="clear" ns0:color="auto" ns0:fill="FFFFFF"/>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FFFFFF"/>
      </ns0:tcPr>
    </ns0:tblStylePr>
    <ns0:tblStylePr ns0:type="nwCell">
      <ns0:tblPr/>
      <ns0:tcPr>
        <ns0:shd ns0:val="clear" ns0:color="auto" ns0:fill="FFFFFF"/>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FFFFFF"/>
      </ns0:tcPr>
    </ns0:tblStylePr>
    <ns0:tblStylePr ns0:type="nwCell">
      <ns0:tblPr/>
      <ns0:tcPr>
        <ns0:shd ns0:val="clear" ns0:color="auto" ns0:fill="FFFFFF"/>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FFFFFF"/>
      </ns0:tcPr>
    </ns0:tblStylePr>
    <ns0:tblStylePr ns0:type="nwCell">
      <ns0:tblPr/>
      <ns0:tcPr>
        <ns0:shd ns0:val="clear" ns0:color="auto" ns0:fill="FFFFFF"/>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FFFFFF"/>
      </ns0:tcPr>
    </ns0:tblStylePr>
    <ns0:tblStylePr ns0:type="nwCell">
      <ns0:tblPr/>
      <ns0:tcPr>
        <ns0:shd ns0:val="clear" ns0:color="auto" ns0:fill="FFFFFF"/>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FFFFF"/>
      </ns0:tcPr>
    </ns0:tblStylePr>
    <ns0:tblStylePr ns0:type="nwCell">
      <ns0:tblPr/>
      <ns0:tcPr>
        <ns0:shd ns0:val="clear" ns0:color="auto" ns0:fill="FFFFFF"/>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DarkList">
    <ns0:name ns0:val="Dark List"/>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1">
    <ns0:name ns0:val="Dark List Accent 1"/>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2">
    <ns0:name ns0:val="Dark List Accent 2"/>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3">
    <ns0:name ns0:val="Dark List Accent 3"/>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4">
    <ns0:name ns0:val="Dark List Accent 4"/>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5">
    <ns0:name ns0:val="Dark List Accent 5"/>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6">
    <ns0:name ns0:val="Dark List Accent 6"/>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000000" ns0:themeColor="tex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C4C74" ns0:themeColor="accen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772C2A" ns0:themeColor="accent2"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5E7530" ns0:themeColor="accent3"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4C3B62" ns0:themeColor="accent4"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76A7C" ns0:themeColor="accent5"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B65608" ns0:themeColor="accent6"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List">
    <ns0:name ns0:val="Colorful List"/>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Grid">
    <ns0:name ns0:val="Colorful Grid"/>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pd.es/areas-de-actuacion/videovigilancia" TargetMode="External"/><Relationship Id="rId10" Type="http://schemas.openxmlformats.org/officeDocument/2006/relationships/hyperlink" Target="https://www.aepd.es/documento/info-videocamaras-hogar-personas-mayores.pdf" TargetMode="External"/><Relationship Id="rId11" Type="http://schemas.openxmlformats.org/officeDocument/2006/relationships/hyperlink" Target="https://www.edpb.europa.eu/sites/default/files/files/file1/edpb_guidelines_202005_consent_en.pdf" TargetMode="External"/><Relationship Id="rId12" Type="http://schemas.openxmlformats.org/officeDocument/2006/relationships/hyperlink" Target="https://www.aepd.es/" TargetMode="External"/><Relationship Id="rId13" Type="http://schemas.openxmlformats.org/officeDocument/2006/relationships/hyperlink" Target="https://eur-lex.europa.eu/eli/reg/2016/679/oj" TargetMode="External"/><Relationship Id="rId14" Type="http://schemas.openxmlformats.org/officeDocument/2006/relationships/hyperlink" Target="https://www.boe.es/eli/es/lo/2018/12/05/3/con" TargetMode="External"/><Relationship Id="rId15" Type="http://schemas.openxmlformats.org/officeDocument/2006/relationships/hyperlink" Target="https://www.edpb.europa.eu/documents/guideline/guidelines-32019-on-processing-of-personal-data-through-video-devices_en" TargetMode="External"/><Relationship Id="rId16" Type="http://schemas.openxmlformats.org/officeDocument/2006/relationships/hyperlink" Target="https://www.edpb.europa.eu/topics/accountability-and-compliance-tools/data-protection-impact-assessment_en" TargetMode="External"/><Relationship Id="rId17" Type="http://schemas.openxmlformats.org/officeDocument/2006/relationships/hyperlink" Target="https://eur-lex.europa.eu/eli/reg/2017/745/oj" TargetMode="External"/><Relationship Id="rId18" Type="http://schemas.openxmlformats.org/officeDocument/2006/relationships/hyperlink" Target="https://eur-lex.europa.eu/eli/reg/2024/1689/oj" TargetMode="External"/><Relationship Id="rId19" Type="http://schemas.openxmlformats.org/officeDocument/2006/relationships/hyperlink" Target="https://eur-lex.europa.eu/eli/reg/2026/1744/oj" TargetMode="External"/><Relationship Id="rId20" Type="http://schemas.openxmlformats.org/officeDocument/2006/relationships/hyperlink" Target="https://eur-lex.europa.eu/eli/dir/2002/58/oj" TargetMode="External"/><Relationship Id="rId21" Type="http://schemas.openxmlformats.org/officeDocument/2006/relationships/hyperlink" Target="https://www.boe.es/buscar/act.php?id=BOE-A-2007-20555" TargetMode="External"/><Relationship Id="rId22" Type="http://schemas.openxmlformats.org/officeDocument/2006/relationships/hyperlink" Target="https://eur-lex.europa.eu/eli/dir/2019/882/oj" TargetMode="External"/><Relationship Id="rId23" Type="http://schemas.openxmlformats.org/officeDocument/2006/relationships/hyperlink" Target="https://www.boe.es/buscar/act.php?id=BOE-A-2023-11022" TargetMode="External"/><Relationship Id="rId24" Type="http://schemas.openxmlformats.org/officeDocument/2006/relationships/hyperlink" Target="https://eur-lex.europa.eu/eli/reg/2023/2854/oj" TargetMode="External"/><Relationship Id="rId25" Type="http://schemas.openxmlformats.org/officeDocument/2006/relationships/hyperlink" Target="https://eur-lex.europa.eu/eli/reg/2024/2847/oj" TargetMode="External"/><Relationship Id="rId26" Type="http://schemas.openxmlformats.org/officeDocument/2006/relationships/footer" Target="footer1.xml"/><Relationship Id="rId27" Type="http://schemas.openxmlformats.org/officeDocument/2006/relationships/hyperlink" Target="https://eur-lex.europa.eu/eli/reg/2016/679" TargetMode="External"/><Relationship Id="rId28" Type="http://schemas.openxmlformats.org/officeDocument/2006/relationships/hyperlink" Target="https://www.aepd.es/documento/orientaciones-videocamaras-hogar-personas-mayores.pdf" TargetMode="External"/><Relationship Id="rId29" Type="http://schemas.openxmlformats.org/officeDocument/2006/relationships/hyperlink" Target="https://eur-lex.europa.eu/eli/reg/2017/745/oj/eng" TargetMode="External"/><Relationship Id="rId30" Type="http://schemas.openxmlformats.org/officeDocument/2006/relationships/hyperlink" Target="https://eur-lex.europa.eu/legal-content/ES/TXT/?uri=CELEX:32026R1744" TargetMode="External"/><Relationship Id="rId31" Type="http://schemas.openxmlformats.org/officeDocument/2006/relationships/hyperlink" Target="https://www.boe.es/buscar/act.php?id=BOE-A-2002-13758" TargetMode="External"/><Relationship Id="rId32" Type="http://schemas.openxmlformats.org/officeDocument/2006/relationships/hyperlink" Target="https://www.boe.es/eli/es/rdlg/2007/11/16/1/con" TargetMode="External"/><Relationship Id="rId33" Type="http://schemas.openxmlformats.org/officeDocument/2006/relationships/hyperlink" Target="https://eur-lex.europa.eu/eli/dir/2019/882/oj/eng" TargetMode="External"/><Relationship Id="rId34" Type="http://schemas.openxmlformats.org/officeDocument/2006/relationships/hyperlink" Target="https://eur-lex.europa.eu/legal-content/ES/TXT/?uri=CELEX:32023R2854" TargetMode="External"/><Relationship Id="rId35" Type="http://schemas.openxmlformats.org/officeDocument/2006/relationships/hyperlink" Target="https://eur-lex.europa.eu/legal-content/ES/TXT/?uri=CELEX:32024R2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uso y aviso de privacidad de ONE</dc:title>
  <dc:subject>Términos generales y aviso común de privacidad para el sistema ONE</dc:subject>
  <dc:creator/>
  <cp:keywords>ONE, privacidad, RGPD, términos de uso</cp:keywords>
  <dc:description/>
  <cp:lastModifiedBy/>
  <cp:revision>1</cp:revision>
  <dcterms:created xsi:type="dcterms:W3CDTF">2013-12-23T23:15:00Z</dcterms:created>
  <dcterms:modified xsi:type="dcterms:W3CDTF">2013-12-23T23:15:00Z</dcterms:modified>
  <cp:category/>
</cp:coreProperties>
</file>