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pPr>
      <w:r>
        <w:rPr/>
        <w:t>Purchase Agreement</w:t>
      </w:r>
    </w:p>
    <w:p>
      <w:pPr>
        <w:pStyle w:val="TextBody"/>
        <w:bidi w:val="0"/>
        <w:jc w:val="center"/>
        <w:rPr/>
      </w:pPr>
      <w:r>
        <w:rPr/>
      </w:r>
    </w:p>
    <w:p>
      <w:pPr>
        <w:pStyle w:val="TextBody"/>
        <w:bidi w:val="0"/>
        <w:spacing w:lineRule="auto" w:line="276" w:before="0" w:after="140"/>
        <w:jc w:val="left"/>
        <w:rPr/>
      </w:pPr>
      <w:r>
        <w:rPr/>
        <w:t xml:space="preserve">This agreement is entered between </w:t>
      </w:r>
      <w:r>
        <w:rPr>
          <w:b/>
          <w:bCs/>
          <w:shd w:fill="FFFFFF" w:val="clear"/>
        </w:rPr>
        <w:t>{d.name}</w:t>
      </w:r>
      <w:r>
        <w:rPr/>
        <w:t xml:space="preserve">, "hereinafter the seller," resident of </w:t>
      </w:r>
      <w:r>
        <w:rPr>
          <w:b/>
          <w:bCs/>
          <w:shd w:fill="FFFFFF" w:val="clear"/>
        </w:rPr>
        <w:t>{d.address}</w:t>
      </w:r>
      <w:r>
        <w:rPr/>
        <w:t xml:space="preserve"> and </w:t>
      </w:r>
      <w:r>
        <w:rPr>
          <w:b/>
          <w:bCs/>
          <w:shd w:fill="FFFFFF" w:val="clear"/>
        </w:rPr>
        <w:t>{d.name2}</w:t>
      </w:r>
      <w:r>
        <w:rPr/>
        <w:t xml:space="preserve">, "hereinafter the buyer" resident of </w:t>
      </w:r>
      <w:r>
        <w:rPr>
          <w:shd w:fill="FFFFFF" w:val="clear"/>
        </w:rPr>
        <w:t>[BUYER ADDRESS]</w:t>
      </w:r>
      <w:r>
        <w:rPr/>
        <w:t>, collectively called the “Parties”.  </w:t>
      </w:r>
    </w:p>
    <w:p>
      <w:pPr>
        <w:pStyle w:val="TextBody"/>
        <w:bidi w:val="0"/>
        <w:spacing w:lineRule="auto" w:line="276" w:before="0" w:after="140"/>
        <w:jc w:val="left"/>
        <w:rPr/>
      </w:pPr>
      <w:r>
        <w:rPr/>
        <w:t xml:space="preserve">WHEREAS, the seller intends to sell </w:t>
      </w:r>
      <w:r>
        <w:rPr>
          <w:shd w:fill="FFFFFF" w:val="clear"/>
        </w:rPr>
        <w:t>[PROPERTY NAME]</w:t>
      </w:r>
      <w:r>
        <w:rPr/>
        <w:t>, hereinafter “the property” as described in the appendix.</w:t>
      </w:r>
    </w:p>
    <w:p>
      <w:pPr>
        <w:pStyle w:val="TextBody"/>
        <w:bidi w:val="0"/>
        <w:spacing w:lineRule="auto" w:line="276" w:before="0" w:after="140"/>
        <w:jc w:val="left"/>
        <w:rPr/>
      </w:pPr>
      <w:r>
        <w:rPr/>
        <w:t>WHEREAS, the Buyer intends and agrees to buy the property under the terms and conditions set forth in this agreement.</w:t>
      </w:r>
    </w:p>
    <w:p>
      <w:pPr>
        <w:pStyle w:val="TextBody"/>
        <w:bidi w:val="0"/>
        <w:spacing w:lineRule="auto" w:line="276" w:before="0" w:after="140"/>
        <w:jc w:val="left"/>
        <w:rPr/>
      </w:pPr>
      <w:r>
        <w:rPr/>
        <w:t>THEREFORE, the parties agree as follows:</w:t>
      </w:r>
    </w:p>
    <w:p>
      <w:pPr>
        <w:pStyle w:val="TextBody"/>
        <w:numPr>
          <w:ilvl w:val="0"/>
          <w:numId w:val="1"/>
        </w:numPr>
        <w:tabs>
          <w:tab w:val="left" w:pos="709" w:leader="none"/>
        </w:tabs>
        <w:bidi w:val="0"/>
        <w:spacing w:before="0" w:after="0"/>
        <w:ind w:left="709" w:hanging="283"/>
        <w:jc w:val="left"/>
        <w:rPr/>
      </w:pPr>
      <w:r>
        <w:rPr>
          <w:u w:val="single"/>
        </w:rPr>
        <w:t>Sale of property</w:t>
      </w:r>
      <w:r>
        <w:rPr/>
        <w:t xml:space="preserve">: The Seller agrees to sell the property, and the Buyer agrees to buy the property under the conditions set herein. </w:t>
      </w:r>
    </w:p>
    <w:p>
      <w:pPr>
        <w:pStyle w:val="TextBody"/>
        <w:numPr>
          <w:ilvl w:val="0"/>
          <w:numId w:val="1"/>
        </w:numPr>
        <w:tabs>
          <w:tab w:val="left" w:pos="709" w:leader="none"/>
        </w:tabs>
        <w:bidi w:val="0"/>
        <w:spacing w:before="0" w:after="0"/>
        <w:ind w:left="709" w:hanging="283"/>
        <w:jc w:val="left"/>
        <w:rPr/>
      </w:pPr>
      <w:r>
        <w:rPr>
          <w:u w:val="single"/>
        </w:rPr>
        <w:t>Sale price</w:t>
      </w:r>
      <w:r>
        <w:rPr/>
        <w:t xml:space="preserve">: The Buyer agrees to pay the full sale price as described; </w:t>
      </w:r>
    </w:p>
    <w:p>
      <w:pPr>
        <w:pStyle w:val="TextBody"/>
        <w:numPr>
          <w:ilvl w:val="1"/>
          <w:numId w:val="1"/>
        </w:numPr>
        <w:tabs>
          <w:tab w:val="clear" w:pos="709"/>
          <w:tab w:val="left" w:pos="1418" w:leader="none"/>
        </w:tabs>
        <w:bidi w:val="0"/>
        <w:spacing w:before="0" w:after="0"/>
        <w:ind w:left="1418" w:hanging="283"/>
        <w:jc w:val="left"/>
        <w:rPr/>
      </w:pPr>
      <w:r>
        <w:rPr/>
        <w:t xml:space="preserve">The upfront cost of the property </w:t>
      </w:r>
    </w:p>
    <w:p>
      <w:pPr>
        <w:pStyle w:val="TextBody"/>
        <w:numPr>
          <w:ilvl w:val="1"/>
          <w:numId w:val="1"/>
        </w:numPr>
        <w:tabs>
          <w:tab w:val="clear" w:pos="709"/>
          <w:tab w:val="left" w:pos="1418" w:leader="none"/>
        </w:tabs>
        <w:bidi w:val="0"/>
        <w:ind w:left="1418" w:hanging="283"/>
        <w:jc w:val="left"/>
        <w:rPr/>
      </w:pPr>
      <w:r>
        <w:rPr/>
        <w:t xml:space="preserve">Any fee associated with the sale of the property </w:t>
      </w:r>
    </w:p>
    <w:p>
      <w:pPr>
        <w:pStyle w:val="TextBody"/>
        <w:numPr>
          <w:ilvl w:val="0"/>
          <w:numId w:val="0"/>
        </w:numPr>
        <w:bidi w:val="0"/>
        <w:ind w:left="0" w:hanging="0"/>
        <w:jc w:val="left"/>
        <w:rPr/>
      </w:pPr>
      <w:r>
        <w:rPr/>
        <w:t xml:space="preserve">The Full sale price is </w:t>
      </w:r>
      <w:r>
        <w:rPr>
          <w:shd w:fill="FFFFFF" w:val="clear"/>
        </w:rPr>
        <w:t>[SALE PRICE]</w:t>
      </w:r>
      <w:r>
        <w:rPr/>
        <w:t>.</w:t>
      </w:r>
    </w:p>
    <w:p>
      <w:pPr>
        <w:pStyle w:val="TextBody"/>
        <w:numPr>
          <w:ilvl w:val="0"/>
          <w:numId w:val="1"/>
        </w:numPr>
        <w:tabs>
          <w:tab w:val="left" w:pos="709" w:leader="none"/>
        </w:tabs>
        <w:bidi w:val="0"/>
        <w:spacing w:before="0" w:after="0"/>
        <w:ind w:left="709" w:hanging="283"/>
        <w:jc w:val="left"/>
        <w:rPr/>
      </w:pPr>
      <w:r>
        <w:rPr>
          <w:u w:val="single"/>
        </w:rPr>
        <w:t>Payment</w:t>
      </w:r>
      <w:r>
        <w:rPr/>
        <w:t xml:space="preserve">: The Buyer will pay the sale price through </w:t>
      </w:r>
      <w:r>
        <w:rPr>
          <w:shd w:fill="FFFFFF" w:val="clear"/>
        </w:rPr>
        <w:t>[PAYMENT METHOD]</w:t>
      </w:r>
      <w:r>
        <w:rPr/>
        <w:t xml:space="preserve">, according to the schedule below; </w:t>
      </w:r>
    </w:p>
    <w:p>
      <w:pPr>
        <w:pStyle w:val="TextBody"/>
        <w:numPr>
          <w:ilvl w:val="1"/>
          <w:numId w:val="1"/>
        </w:numPr>
        <w:tabs>
          <w:tab w:val="clear" w:pos="709"/>
          <w:tab w:val="left" w:pos="1418" w:leader="none"/>
        </w:tabs>
        <w:bidi w:val="0"/>
        <w:spacing w:before="0" w:after="0"/>
        <w:ind w:left="1418" w:hanging="283"/>
        <w:jc w:val="left"/>
        <w:rPr/>
      </w:pPr>
      <w:r>
        <w:rPr>
          <w:shd w:fill="FFFFFF" w:val="clear"/>
        </w:rPr>
        <w:t>[INITIAL SECURITY]</w:t>
      </w:r>
      <w:r>
        <w:rPr/>
        <w:t xml:space="preserve">: Initial security </w:t>
      </w:r>
    </w:p>
    <w:p>
      <w:pPr>
        <w:pStyle w:val="TextBody"/>
        <w:numPr>
          <w:ilvl w:val="1"/>
          <w:numId w:val="1"/>
        </w:numPr>
        <w:tabs>
          <w:tab w:val="clear" w:pos="709"/>
          <w:tab w:val="left" w:pos="1418" w:leader="none"/>
        </w:tabs>
        <w:bidi w:val="0"/>
        <w:spacing w:before="0" w:after="0"/>
        <w:ind w:left="1418" w:hanging="283"/>
        <w:jc w:val="left"/>
        <w:rPr/>
      </w:pPr>
      <w:r>
        <w:rPr>
          <w:shd w:fill="FFFFFF" w:val="clear"/>
        </w:rPr>
        <w:t>[EXECUTION SUM]</w:t>
      </w:r>
      <w:r>
        <w:rPr/>
        <w:t xml:space="preserve">: Upon execution of the agreement </w:t>
      </w:r>
    </w:p>
    <w:p>
      <w:pPr>
        <w:pStyle w:val="TextBody"/>
        <w:numPr>
          <w:ilvl w:val="1"/>
          <w:numId w:val="1"/>
        </w:numPr>
        <w:tabs>
          <w:tab w:val="clear" w:pos="709"/>
          <w:tab w:val="left" w:pos="1418" w:leader="none"/>
        </w:tabs>
        <w:bidi w:val="0"/>
        <w:spacing w:before="0" w:after="0"/>
        <w:ind w:left="1418" w:hanging="283"/>
        <w:jc w:val="left"/>
        <w:rPr/>
      </w:pPr>
      <w:r>
        <w:rPr>
          <w:shd w:fill="FFFFFF" w:val="clear"/>
        </w:rPr>
        <w:t>[ACCEPTANCE SUM]</w:t>
      </w:r>
      <w:r>
        <w:rPr/>
        <w:t xml:space="preserve">: After inspection and acceptance of the property </w:t>
      </w:r>
    </w:p>
    <w:p>
      <w:pPr>
        <w:pStyle w:val="TextBody"/>
        <w:numPr>
          <w:ilvl w:val="0"/>
          <w:numId w:val="1"/>
        </w:numPr>
        <w:tabs>
          <w:tab w:val="left" w:pos="709" w:leader="none"/>
        </w:tabs>
        <w:bidi w:val="0"/>
        <w:spacing w:before="0" w:after="0"/>
        <w:ind w:left="709" w:hanging="283"/>
        <w:jc w:val="left"/>
        <w:rPr/>
      </w:pPr>
      <w:r>
        <w:rPr>
          <w:u w:val="single"/>
        </w:rPr>
        <w:t>Inspection and Acceptance</w:t>
      </w:r>
      <w:r>
        <w:rPr/>
        <w:t xml:space="preserve">: Once the agreement is executed, the Buyer has 30 days to inspect the property and ensure it matches the description and is in up-to-date condition. That the property is free from any third-party interest or legal liability, rescind the agreement otherwise. </w:t>
      </w:r>
    </w:p>
    <w:p>
      <w:pPr>
        <w:pStyle w:val="TextBody"/>
        <w:numPr>
          <w:ilvl w:val="0"/>
          <w:numId w:val="1"/>
        </w:numPr>
        <w:tabs>
          <w:tab w:val="left" w:pos="709" w:leader="none"/>
        </w:tabs>
        <w:bidi w:val="0"/>
        <w:spacing w:before="0" w:after="0"/>
        <w:ind w:left="709" w:hanging="283"/>
        <w:jc w:val="left"/>
        <w:rPr/>
      </w:pPr>
      <w:r>
        <w:rPr>
          <w:u w:val="single"/>
        </w:rPr>
        <w:t>Warranty</w:t>
      </w:r>
      <w:r>
        <w:rPr/>
        <w:t xml:space="preserve">: The seller provides the warranty that the seller is the true owner and holds legal and lawful title to the property. Further, the seller warrants that the seller has the legal authority to enter into this contract. </w:t>
      </w:r>
    </w:p>
    <w:p>
      <w:pPr>
        <w:pStyle w:val="TextBody"/>
        <w:numPr>
          <w:ilvl w:val="0"/>
          <w:numId w:val="1"/>
        </w:numPr>
        <w:tabs>
          <w:tab w:val="left" w:pos="709" w:leader="none"/>
        </w:tabs>
        <w:bidi w:val="0"/>
        <w:spacing w:before="0" w:after="0"/>
        <w:ind w:left="709" w:hanging="283"/>
        <w:jc w:val="left"/>
        <w:rPr/>
      </w:pPr>
      <w:r>
        <w:rPr>
          <w:u w:val="single"/>
        </w:rPr>
        <w:t>Indemnification</w:t>
      </w:r>
      <w:r>
        <w:rPr/>
        <w:t xml:space="preserve">: The seller indemnifies the Buyer from all claims, damages, lawsuits, and expenses by third parties that may result from the seller's breach of the agreement. The indemnification binds all the successors of the seller. </w:t>
      </w:r>
    </w:p>
    <w:p>
      <w:pPr>
        <w:pStyle w:val="TextBody"/>
        <w:numPr>
          <w:ilvl w:val="0"/>
          <w:numId w:val="1"/>
        </w:numPr>
        <w:tabs>
          <w:tab w:val="left" w:pos="709" w:leader="none"/>
        </w:tabs>
        <w:bidi w:val="0"/>
        <w:spacing w:before="0" w:after="0"/>
        <w:ind w:left="709" w:hanging="283"/>
        <w:jc w:val="left"/>
        <w:rPr/>
      </w:pPr>
      <w:r>
        <w:rPr>
          <w:u w:val="single"/>
        </w:rPr>
        <w:t>Miscellaneous</w:t>
      </w:r>
      <w:r>
        <w:rPr/>
        <w:t xml:space="preserve">: </w:t>
      </w:r>
    </w:p>
    <w:p>
      <w:pPr>
        <w:pStyle w:val="TextBody"/>
        <w:numPr>
          <w:ilvl w:val="1"/>
          <w:numId w:val="1"/>
        </w:numPr>
        <w:tabs>
          <w:tab w:val="clear" w:pos="709"/>
          <w:tab w:val="left" w:pos="1418" w:leader="none"/>
        </w:tabs>
        <w:bidi w:val="0"/>
        <w:spacing w:before="0" w:after="0"/>
        <w:ind w:left="1418" w:hanging="283"/>
        <w:jc w:val="left"/>
        <w:rPr/>
      </w:pPr>
      <w:r>
        <w:rPr>
          <w:u w:val="single"/>
        </w:rPr>
        <w:t>Severability</w:t>
      </w:r>
      <w:r>
        <w:rPr/>
        <w:t xml:space="preserve">: If any particular part of this agreement is found to be invalid or unenforceable, the Agreement will become void to that extent. Except for the invalid or unenforceable part, the rest will remain in full force. </w:t>
      </w:r>
    </w:p>
    <w:p>
      <w:pPr>
        <w:pStyle w:val="TextBody"/>
        <w:numPr>
          <w:ilvl w:val="1"/>
          <w:numId w:val="1"/>
        </w:numPr>
        <w:tabs>
          <w:tab w:val="clear" w:pos="709"/>
          <w:tab w:val="left" w:pos="1418" w:leader="none"/>
        </w:tabs>
        <w:bidi w:val="0"/>
        <w:spacing w:before="0" w:after="0"/>
        <w:ind w:left="1418" w:hanging="283"/>
        <w:jc w:val="left"/>
        <w:rPr/>
      </w:pPr>
      <w:r>
        <w:rPr>
          <w:u w:val="single"/>
        </w:rPr>
        <w:t>Force Majeure</w:t>
      </w:r>
      <w:r>
        <w:rPr/>
        <w:t xml:space="preserve">: Any parties to this agreement shall not be liable for any delay or nonperformance of any part of this agreement if such delay or nonperformance is a result of government actions, war, civil disorder, pandemic, or any event similar to them and is beyond the control of any of the parties or is not foreseeable. </w:t>
      </w:r>
    </w:p>
    <w:p>
      <w:pPr>
        <w:pStyle w:val="TextBody"/>
        <w:numPr>
          <w:ilvl w:val="1"/>
          <w:numId w:val="1"/>
        </w:numPr>
        <w:tabs>
          <w:tab w:val="clear" w:pos="709"/>
          <w:tab w:val="left" w:pos="1418" w:leader="none"/>
        </w:tabs>
        <w:bidi w:val="0"/>
        <w:spacing w:before="0" w:after="0"/>
        <w:ind w:left="1418" w:hanging="283"/>
        <w:jc w:val="left"/>
        <w:rPr/>
      </w:pPr>
      <w:r>
        <w:rPr>
          <w:u w:val="single"/>
        </w:rPr>
        <w:t>Counterpart</w:t>
      </w:r>
      <w:r>
        <w:rPr/>
        <w:t xml:space="preserve">: Either party to this agreement may execute counterparts of this agreement, and such counterpart will be deemed to be an original. </w:t>
      </w:r>
    </w:p>
    <w:p>
      <w:pPr>
        <w:pStyle w:val="TextBody"/>
        <w:numPr>
          <w:ilvl w:val="1"/>
          <w:numId w:val="1"/>
        </w:numPr>
        <w:tabs>
          <w:tab w:val="clear" w:pos="709"/>
          <w:tab w:val="left" w:pos="1418" w:leader="none"/>
        </w:tabs>
        <w:bidi w:val="0"/>
        <w:ind w:left="1418" w:hanging="283"/>
        <w:jc w:val="left"/>
        <w:rPr/>
      </w:pPr>
      <w:r>
        <w:rPr>
          <w:u w:val="single"/>
        </w:rPr>
        <w:t>Jurisdiction</w:t>
      </w:r>
      <w:r>
        <w:rPr/>
        <w:t xml:space="preserve">: The agreement will be governed by the laws of </w:t>
      </w:r>
      <w:r>
        <w:rPr>
          <w:shd w:fill="FFFFFF" w:val="clear"/>
        </w:rPr>
        <w:t>[JURISDICTION]</w:t>
      </w:r>
      <w:r>
        <w:rPr/>
        <w:t xml:space="preserve">. </w:t>
      </w:r>
    </w:p>
    <w:p>
      <w:pPr>
        <w:pStyle w:val="TextBody"/>
        <w:bidi w:val="0"/>
        <w:jc w:val="left"/>
        <w:rPr/>
      </w:pPr>
      <w:r>
        <w:rPr/>
        <w:t xml:space="preserve">The agreement will come into force on </w:t>
      </w:r>
      <w:r>
        <w:rPr>
          <w:shd w:fill="FFFFFF" w:val="clear"/>
        </w:rPr>
        <w:t>[DATE]</w:t>
      </w:r>
      <w:r>
        <w:rPr/>
        <w:t>.</w:t>
      </w:r>
    </w:p>
    <w:p>
      <w:pPr>
        <w:pStyle w:val="TextBody"/>
        <w:bidi w:val="0"/>
        <w:spacing w:lineRule="auto" w:line="276" w:before="0" w:after="140"/>
        <w:jc w:val="left"/>
        <w:rPr/>
      </w:pPr>
      <w:r>
        <w:rPr/>
        <w:t> </w:t>
      </w:r>
    </w:p>
    <w:p>
      <w:pPr>
        <w:pStyle w:val="TextBody"/>
        <w:bidi w:val="0"/>
        <w:spacing w:lineRule="auto" w:line="276" w:before="0" w:after="140"/>
        <w:jc w:val="left"/>
        <w:rPr/>
      </w:pPr>
      <w:r>
        <mc:AlternateContent>
          <mc:Choice Requires="wps">
            <w:drawing>
              <wp:anchor behindDoc="0" distT="0" distB="0" distL="0" distR="0" simplePos="0" locked="0" layoutInCell="0" allowOverlap="1" relativeHeight="2">
                <wp:simplePos x="0" y="0"/>
                <wp:positionH relativeFrom="column">
                  <wp:posOffset>4022090</wp:posOffset>
                </wp:positionH>
                <wp:positionV relativeFrom="paragraph">
                  <wp:posOffset>-12065</wp:posOffset>
                </wp:positionV>
                <wp:extent cx="2200275" cy="257175"/>
                <wp:effectExtent l="0" t="0" r="0" b="0"/>
                <wp:wrapNone/>
                <wp:docPr id="1" name="Text Frame 1"/>
                <a:graphic xmlns:a="http://schemas.openxmlformats.org/drawingml/2006/main">
                  <a:graphicData uri="http://schemas.microsoft.com/office/word/2010/wordprocessingShape">
                    <wps:wsp>
                      <wps:cNvSpPr/>
                      <wps:spPr>
                        <a:xfrm>
                          <a:off x="0" y="0"/>
                          <a:ext cx="2200320" cy="257040"/>
                        </a:xfrm>
                        <a:prstGeom prst="rect">
                          <a:avLst/>
                        </a:prstGeom>
                        <a:noFill/>
                        <a:ln w="0">
                          <a:noFill/>
                        </a:ln>
                      </wps:spPr>
                      <wps:style>
                        <a:lnRef idx="0"/>
                        <a:fillRef idx="0"/>
                        <a:effectRef idx="0"/>
                        <a:fontRef idx="minor"/>
                      </wps:style>
                      <wps:txbx>
                        <w:txbxContent>
                          <w:p>
                            <w:pPr>
                              <w:pStyle w:val="FrameContents"/>
                              <w:overflowPunct w:val="true"/>
                              <w:bidi w:val="0"/>
                              <w:rPr>
                                <w:b/>
                                <w:b/>
                                <w:bCs/>
                              </w:rPr>
                            </w:pPr>
                            <w:r>
                              <w:rPr>
                                <w:b/>
                                <w:bCs/>
                                <w:kern w:val="2"/>
                              </w:rPr>
                              <w:t>{d.date}</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316.7pt;margin-top:-0.95pt;width:173.2pt;height:20.2pt;mso-wrap-style:square;v-text-anchor:top">
                <v:fill o:detectmouseclick="t" on="false"/>
                <v:stroke color="#3465a4" joinstyle="round" endcap="flat"/>
                <v:textbox>
                  <w:txbxContent>
                    <w:p>
                      <w:pPr>
                        <w:pStyle w:val="FrameContents"/>
                        <w:overflowPunct w:val="true"/>
                        <w:bidi w:val="0"/>
                        <w:rPr>
                          <w:b/>
                          <w:b/>
                          <w:bCs/>
                        </w:rPr>
                      </w:pPr>
                      <w:r>
                        <w:rPr>
                          <w:b/>
                          <w:bCs/>
                          <w:kern w:val="2"/>
                        </w:rPr>
                        <w:t>{d.date}</w:t>
                      </w:r>
                    </w:p>
                  </w:txbxContent>
                </v:textbox>
                <w10:wrap type="none"/>
              </v:rect>
            </w:pict>
          </mc:Fallback>
        </mc:AlternateContent>
      </w:r>
      <w:r>
        <w:rPr/>
        <w:t>Buyer: _________________ Signature: _______________ Date: _____________</w:t>
      </w:r>
    </w:p>
    <w:p>
      <w:pPr>
        <w:pStyle w:val="TextBody"/>
        <w:bidi w:val="0"/>
        <w:spacing w:lineRule="auto" w:line="276" w:before="0" w:after="140"/>
        <w:jc w:val="left"/>
        <w:rPr/>
      </w:pPr>
      <w:r>
        <w:rPr/>
        <w:br/>
        <w:t>Seller: __________________ Signature: _______________ Date: _____________</w:t>
      </w:r>
    </w:p>
    <w:sectPr>
      <w:type w:val="nextPage"/>
      <w:pgSz w:w="11906" w:h="16838"/>
      <w:pgMar w:left="1134" w:right="567" w:gutter="0" w:header="0" w:top="567" w:footer="0" w:bottom="56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lowerLetter"/>
      <w:lvlText w:val="%2."/>
      <w:lvlJc w:val="left"/>
      <w:pPr>
        <w:tabs>
          <w:tab w:val="num" w:pos="1418"/>
        </w:tabs>
        <w:ind w:left="1418" w:hanging="283"/>
      </w:pPr>
      <w:rPr/>
    </w:lvl>
    <w:lvl w:ilvl="2">
      <w:start w:val="1"/>
      <w:numFmt w:val="lowerLetter"/>
      <w:lvlText w:val="%3."/>
      <w:lvlJc w:val="left"/>
      <w:pPr>
        <w:tabs>
          <w:tab w:val="num" w:pos="2127"/>
        </w:tabs>
        <w:ind w:left="2127" w:hanging="283"/>
      </w:pPr>
      <w:rPr/>
    </w:lvl>
    <w:lvl w:ilvl="3">
      <w:start w:val="1"/>
      <w:numFmt w:val="lowerLetter"/>
      <w:lvlText w:val="%4."/>
      <w:lvlJc w:val="left"/>
      <w:pPr>
        <w:tabs>
          <w:tab w:val="num" w:pos="2836"/>
        </w:tabs>
        <w:ind w:left="2836" w:hanging="283"/>
      </w:pPr>
      <w:rPr/>
    </w:lvl>
    <w:lvl w:ilvl="4">
      <w:start w:val="1"/>
      <w:numFmt w:val="lowerLetter"/>
      <w:lvlText w:val="%5."/>
      <w:lvlJc w:val="left"/>
      <w:pPr>
        <w:tabs>
          <w:tab w:val="num" w:pos="3545"/>
        </w:tabs>
        <w:ind w:left="3545" w:hanging="283"/>
      </w:pPr>
      <w:rPr/>
    </w:lvl>
    <w:lvl w:ilvl="5">
      <w:start w:val="1"/>
      <w:numFmt w:val="lowerLetter"/>
      <w:lvlText w:val="%6."/>
      <w:lvlJc w:val="left"/>
      <w:pPr>
        <w:tabs>
          <w:tab w:val="num" w:pos="4254"/>
        </w:tabs>
        <w:ind w:left="4254" w:hanging="283"/>
      </w:pPr>
      <w:rPr/>
    </w:lvl>
    <w:lvl w:ilvl="6">
      <w:start w:val="1"/>
      <w:numFmt w:val="lowerLetter"/>
      <w:lvlText w:val="%7."/>
      <w:lvlJc w:val="left"/>
      <w:pPr>
        <w:tabs>
          <w:tab w:val="num" w:pos="4963"/>
        </w:tabs>
        <w:ind w:left="4963" w:hanging="283"/>
      </w:pPr>
      <w:rPr/>
    </w:lvl>
    <w:lvl w:ilvl="7">
      <w:start w:val="1"/>
      <w:numFmt w:val="lowerLetter"/>
      <w:lvlText w:val="%8."/>
      <w:lvlJc w:val="left"/>
      <w:pPr>
        <w:tabs>
          <w:tab w:val="num" w:pos="5672"/>
        </w:tabs>
        <w:ind w:left="5672" w:hanging="283"/>
      </w:pPr>
      <w:rPr/>
    </w:lvl>
    <w:lvl w:ilvl="8">
      <w:start w:val="1"/>
      <w:numFmt w:val="lowerLetter"/>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FreeSans"/>
      <w:color w:val="auto"/>
      <w:kern w:val="0"/>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MsoNormal">
    <w:name w:val="Text Body.MsoNormal"/>
    <w:basedOn w:val="TextBody"/>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445</Words>
  <Characters>2392</Characters>
  <CharactersWithSpaces>2815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2023-07-20T22:02:59Z</dcterms:modified>
  <cp:revision>2</cp:revision>
  <dc:subject/>
  <dc:title>$this-&gt;title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tor">
    <vt:lpwstr>Microsoft Word 9</vt:lpwstr>
  </property>
  <property fmtid="{D5CDD505-2E9C-101B-9397-08002B2CF9AE}" pid="3" name="ProgId">
    <vt:lpwstr>Word.Document</vt:lpwstr>
  </property>
</Properties>
</file>