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Proposal and Scope of Work</w:t>
      </w:r>
    </w:p>
    <w:p>
      <w:pPr>
        <w:spacing w:after="200"/>
      </w:pPr>
      <w:r>
        <w:rPr>
          <w:color w:val="555555"/>
          <w:sz w:val="26"/>
        </w:rPr>
        <w:t>Gather - Mobile Application (iOS)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Field</w:t>
            </w:r>
          </w:p>
        </w:tc>
        <w:tc>
          <w:tcPr>
            <w:tcW w:type="dxa" w:w="6480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Detail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Prepared by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Gary Shannon (Lead Architect)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Project team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Lead Architect plus a dedicated support engineer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Client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[Client name]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Date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10 July 2026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Engagement type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Fixed-scope mobile application build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Duration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8 weeks (40 working days)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Day rate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$1,000 per day (a discounted rate can be discussed if required)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Total fixed price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$40,000 (excluding GST and third-party costs)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Gather is a premium, invitation-only dining membership mobile application. Members receive one curated dinner invitation per week: a table of six compatible people at a vetted venue. The experience is designed end to end and includes onboarding by request, compatibility-based matching, a refundable deposit that encourages attendance, a group message thread before and after each dinner, and a continuity layer that turns one-off dinners into ongoing groups.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This document sets out the scope, technical approach, delivery schedule and cost to build a launch-ready version of the application for a single city on iOS. The work is delivered by a small dedicated team, led by Gary Shannon as Lead Architect and supported by a second engineer working on the project daily, using AI-assisted development tooling (Claude Code). This team structure is what makes the timeline and cost below achievable.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proposed engagement is an 8-week fixed-scope build at a day rate of $1,000 per day, for a total fixed price of $40,000. Approximately 2.5 of the 8 weeks are reserved for iterative refinement, testing and launch. If budget is a constraint, a discounted rate can be discussed.</w:t>
      </w:r>
    </w:p>
    <w:p>
      <w:pPr>
        <w:pStyle w:val="Heading1"/>
      </w:pPr>
      <w:r>
        <w:t>2. Note on Estimating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AI-assisted development has materially changed the speed at which a small team can deliver software. It has also made precise date estimates less reliable, because each week of work now moves faster and with more variability than under traditional methods.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8-week schedule should therefore be treated as the planning target rather than a guaranteed delivery date. Depending on scope discipline, third-party payment and app store review timelines, and the number of refinement rounds required, the work may complete slightly sooner or extend by a few weeks. To keep progress visible, a testable build will be provided at the end of every week for the duration of the engagement.</w:t>
      </w:r>
    </w:p>
    <w:p>
      <w:pPr>
        <w:pStyle w:val="Heading1"/>
      </w:pPr>
      <w:r>
        <w:t>3. Project Team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project is delivered by a dedicated two-person team.</w:t>
      </w:r>
    </w:p>
    <w:p>
      <w:pPr>
        <w:spacing w:after="40"/>
      </w:pPr>
      <w:r>
        <w:rPr>
          <w:b/>
          <w:i w:val="0"/>
          <w:color w:val="000000"/>
          <w:sz w:val="22"/>
        </w:rPr>
        <w:t>Lead Architect - Gary Shannon.</w:t>
      </w:r>
    </w:p>
    <w:p>
      <w:pPr>
        <w:pStyle w:val="ListBullet"/>
        <w:spacing w:after="60"/>
      </w:pPr>
      <w:r>
        <w:rPr>
          <w:sz w:val="22"/>
        </w:rPr>
        <w:t>Owns the technical design, system architecture and key engineering decisions.</w:t>
      </w:r>
    </w:p>
    <w:p>
      <w:pPr>
        <w:pStyle w:val="ListBullet"/>
        <w:spacing w:after="60"/>
      </w:pPr>
      <w:r>
        <w:rPr>
          <w:sz w:val="22"/>
        </w:rPr>
        <w:t>Leads the payments, data model and integration work, and overall delivery.</w:t>
      </w:r>
    </w:p>
    <w:p>
      <w:pPr>
        <w:pStyle w:val="ListBullet"/>
        <w:spacing w:after="60"/>
      </w:pPr>
      <w:r>
        <w:rPr>
          <w:sz w:val="22"/>
        </w:rPr>
        <w:t>Primary point of contact and accountable for quality and timeline.</w:t>
      </w:r>
    </w:p>
    <w:p>
      <w:pPr>
        <w:spacing w:after="40"/>
      </w:pPr>
      <w:r>
        <w:rPr>
          <w:b/>
          <w:i w:val="0"/>
          <w:color w:val="000000"/>
          <w:sz w:val="22"/>
        </w:rPr>
        <w:t>Support Engineer.</w:t>
      </w:r>
    </w:p>
    <w:p>
      <w:pPr>
        <w:pStyle w:val="ListBullet"/>
        <w:spacing w:after="60"/>
      </w:pPr>
      <w:r>
        <w:rPr>
          <w:sz w:val="22"/>
        </w:rPr>
        <w:t>A second resource assigned to the project and working on it daily.</w:t>
      </w:r>
    </w:p>
    <w:p>
      <w:pPr>
        <w:pStyle w:val="ListBullet"/>
        <w:spacing w:after="60"/>
      </w:pPr>
      <w:r>
        <w:rPr>
          <w:sz w:val="22"/>
        </w:rPr>
        <w:t>Assists with day-to-day engineering tasks, product work, testing and delivery support.</w:t>
      </w:r>
    </w:p>
    <w:p>
      <w:pPr>
        <w:pStyle w:val="ListBullet"/>
        <w:spacing w:after="60"/>
      </w:pPr>
      <w:r>
        <w:rPr>
          <w:sz w:val="22"/>
        </w:rPr>
        <w:t>Provides continuity and a second set of eyes throughout the build.</w:t>
      </w:r>
    </w:p>
    <w:p>
      <w:pPr>
        <w:spacing w:after="120"/>
      </w:pPr>
      <w:r>
        <w:rPr>
          <w:b w:val="0"/>
          <w:i/>
          <w:color w:val="555555"/>
          <w:sz w:val="21"/>
        </w:rPr>
        <w:t>Both roles are covered by the project day rate of $1,000 per day. The team structure increases delivery capacity and provides review and continuity at no change to the fixed price quoted in this proposal.</w:t>
      </w:r>
    </w:p>
    <w:p>
      <w:pPr>
        <w:pStyle w:val="Heading1"/>
      </w:pPr>
      <w:r>
        <w:t>4. Project Overview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Gather is not a social feed and does not use swiping. Its differentiators are curation, accountability through a refundable deposit, transparent pricing, and continuity (keeping the people a member connects with over time). The application offers three membership tiers: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Tier</w:t>
            </w:r>
          </w:p>
        </w:tc>
        <w:tc>
          <w:tcPr>
            <w:tcW w:type="dxa" w:w="2592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Price</w:t>
            </w:r>
          </w:p>
        </w:tc>
        <w:tc>
          <w:tcPr>
            <w:tcW w:type="dxa" w:w="4752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Includes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Core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$1.99 per month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Pay as you dine at $49 per event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Unlimited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$44.99 per month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All standard dinners included, priority booking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Black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Invitation only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Private formats, chef's table events, concierge curation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  <w:sz w:val="21"/>
        </w:rPr>
        <w:t>The brand and visual design are already complete and provided as a design system. No separate design discovery phase is required; the work in this proposal implements that design.</w:t>
      </w:r>
    </w:p>
    <w:p>
      <w:pPr>
        <w:pStyle w:val="Heading1"/>
      </w:pPr>
      <w:r>
        <w:t>5. Scope of Work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launch version delivers the full member experience in four parts.</w:t>
      </w:r>
    </w:p>
    <w:p>
      <w:pPr>
        <w:pStyle w:val="Heading2"/>
      </w:pPr>
      <w:r>
        <w:t>5.1 Onboarding</w:t>
      </w:r>
    </w:p>
    <w:p>
      <w:pPr>
        <w:pStyle w:val="ListBullet"/>
        <w:spacing w:after="60"/>
      </w:pPr>
      <w:r>
        <w:rPr>
          <w:sz w:val="22"/>
        </w:rPr>
        <w:t>Request-based access with invitation codes and a welcome sequence.</w:t>
      </w:r>
    </w:p>
    <w:p>
      <w:pPr>
        <w:pStyle w:val="ListBullet"/>
        <w:spacing w:after="60"/>
      </w:pPr>
      <w:r>
        <w:rPr>
          <w:sz w:val="22"/>
        </w:rPr>
        <w:t>City and email capture with a waitlist position, opened by neighbourhood in small groups.</w:t>
      </w:r>
    </w:p>
    <w:p>
      <w:pPr>
        <w:pStyle w:val="ListBullet"/>
        <w:spacing w:after="60"/>
      </w:pPr>
      <w:r>
        <w:rPr>
          <w:sz w:val="22"/>
        </w:rPr>
        <w:t>Compatibility questionnaire covering intent, availability and conversation style.</w:t>
      </w:r>
    </w:p>
    <w:p>
      <w:pPr>
        <w:pStyle w:val="ListBullet"/>
        <w:spacing w:after="60"/>
      </w:pPr>
      <w:r>
        <w:rPr>
          <w:sz w:val="22"/>
        </w:rPr>
        <w:t>Membership tier selection.</w:t>
      </w:r>
    </w:p>
    <w:p>
      <w:pPr>
        <w:pStyle w:val="Heading2"/>
      </w:pPr>
      <w:r>
        <w:t>5.2 The Weekly Loop</w:t>
      </w:r>
    </w:p>
    <w:p>
      <w:pPr>
        <w:pStyle w:val="ListBullet"/>
        <w:spacing w:after="60"/>
      </w:pPr>
      <w:r>
        <w:rPr>
          <w:sz w:val="22"/>
        </w:rPr>
        <w:t>Home dashboard showing the week's invitation, member statistics and recent connections.</w:t>
      </w:r>
    </w:p>
    <w:p>
      <w:pPr>
        <w:pStyle w:val="ListBullet"/>
        <w:spacing w:after="60"/>
      </w:pPr>
      <w:r>
        <w:rPr>
          <w:sz w:val="22"/>
        </w:rPr>
        <w:t>Invitation detail with venue information and a table match score.</w:t>
      </w:r>
    </w:p>
    <w:p>
      <w:pPr>
        <w:pStyle w:val="ListBullet"/>
        <w:spacing w:after="60"/>
      </w:pPr>
      <w:r>
        <w:rPr>
          <w:sz w:val="22"/>
        </w:rPr>
        <w:t>Seat confirmation with a refundable deposit taken as a card hold.</w:t>
      </w:r>
    </w:p>
    <w:p>
      <w:pPr>
        <w:pStyle w:val="ListBullet"/>
        <w:spacing w:after="60"/>
      </w:pPr>
      <w:r>
        <w:rPr>
          <w:sz w:val="22"/>
        </w:rPr>
        <w:t>Table view showing the six attendees and the reasons for the match.</w:t>
      </w:r>
    </w:p>
    <w:p>
      <w:pPr>
        <w:pStyle w:val="Heading2"/>
      </w:pPr>
      <w:r>
        <w:t>5.3 Continuity</w:t>
      </w:r>
    </w:p>
    <w:p>
      <w:pPr>
        <w:pStyle w:val="ListBullet"/>
        <w:spacing w:after="60"/>
      </w:pPr>
      <w:r>
        <w:rPr>
          <w:sz w:val="22"/>
        </w:rPr>
        <w:t>Group message thread for each table, available before, during and after the dinner.</w:t>
      </w:r>
    </w:p>
    <w:p>
      <w:pPr>
        <w:pStyle w:val="ListBullet"/>
        <w:spacing w:after="60"/>
      </w:pPr>
      <w:r>
        <w:rPr>
          <w:sz w:val="22"/>
        </w:rPr>
        <w:t>Optional after-party coordination and photo sharing.</w:t>
      </w:r>
    </w:p>
    <w:p>
      <w:pPr>
        <w:pStyle w:val="ListBullet"/>
        <w:spacing w:after="60"/>
      </w:pPr>
      <w:r>
        <w:rPr>
          <w:sz w:val="22"/>
        </w:rPr>
        <w:t>Post-dinner rating and the option to keep selected connections.</w:t>
      </w:r>
    </w:p>
    <w:p>
      <w:pPr>
        <w:pStyle w:val="ListBullet"/>
        <w:spacing w:after="60"/>
      </w:pPr>
      <w:r>
        <w:rPr>
          <w:sz w:val="22"/>
        </w:rPr>
        <w:t>Persistent connections and self-organising groups.</w:t>
      </w:r>
    </w:p>
    <w:p>
      <w:pPr>
        <w:pStyle w:val="Heading2"/>
      </w:pPr>
      <w:r>
        <w:t>5.4 Membership and Profile</w:t>
      </w:r>
    </w:p>
    <w:p>
      <w:pPr>
        <w:pStyle w:val="ListBullet"/>
        <w:spacing w:after="60"/>
      </w:pPr>
      <w:r>
        <w:rPr>
          <w:sz w:val="22"/>
        </w:rPr>
        <w:t>Membership management with transparent renewal and one-tap cancellation.</w:t>
      </w:r>
    </w:p>
    <w:p>
      <w:pPr>
        <w:pStyle w:val="ListBullet"/>
        <w:spacing w:after="60"/>
      </w:pPr>
      <w:r>
        <w:rPr>
          <w:sz w:val="22"/>
        </w:rPr>
        <w:t>Member profile, dining preferences and attendance record.</w:t>
      </w:r>
    </w:p>
    <w:p>
      <w:pPr>
        <w:pStyle w:val="ListBullet"/>
        <w:spacing w:after="60"/>
      </w:pPr>
      <w:r>
        <w:rPr>
          <w:sz w:val="22"/>
        </w:rPr>
        <w:t>Invitation flow for the Black tier (concierge handled off-application at launch).</w:t>
      </w:r>
    </w:p>
    <w:p>
      <w:pPr>
        <w:pStyle w:val="Heading2"/>
      </w:pPr>
      <w:r>
        <w:t>5.5 Operations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For the launch version, table matching is a rule-based scoring engine that proposes tables for the operator to approve. A lightweight administration layer is included so that the first groups can be run by hand: managing venues, opening groups, forming tables and monitoring deposits. A fully featured operations back-office is listed as a fast-follow in Section 10.</w:t>
      </w:r>
    </w:p>
    <w:p>
      <w:pPr>
        <w:pStyle w:val="Heading1"/>
      </w:pPr>
      <w:r>
        <w:t>6. Technical Approach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technology has been selected for reliable delivery by a single developer, using managed services to minimise infrastructure work.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Layer</w:t>
            </w:r>
          </w:p>
        </w:tc>
        <w:tc>
          <w:tcPr>
            <w:tcW w:type="dxa" w:w="3312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Selected technology</w:t>
            </w:r>
          </w:p>
        </w:tc>
        <w:tc>
          <w:tcPr>
            <w:tcW w:type="dxa" w:w="3456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Purpose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Mobile application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React Native with Expo (iOS first)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Single codebase; Android as a fast-follow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Backend and database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Supabase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Accounts, database, real-time data, file storage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Payments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Stripe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Memberships, per-event payments and refundable deposits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Messaging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Supabase real-time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Group message threads for each table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Notifications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Expo push notifications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Invitations, reminders and message alerts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Maps and location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Mapbox or Google Places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Venue distance and neighbourhood logic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Monitoring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Sentry and PostHog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Error tracking and usage analytics</w:t>
            </w:r>
          </w:p>
        </w:tc>
      </w:tr>
    </w:tbl>
    <w:p/>
    <w:p>
      <w:pPr>
        <w:pStyle w:val="Heading1"/>
      </w:pPr>
      <w:r>
        <w:t>7. Delivery Schedule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build runs for approximately five and a half weeks, followed by approximately two and a half weeks of refinement, testing and launch. Scope is fixed at the start of the engagement. A testable build is provided at the end of each week.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Week</w:t>
            </w:r>
          </w:p>
        </w:tc>
        <w:tc>
          <w:tcPr>
            <w:tcW w:type="dxa" w:w="3168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Focus</w:t>
            </w:r>
          </w:p>
        </w:tc>
        <w:tc>
          <w:tcPr>
            <w:tcW w:type="dxa" w:w="5328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Outcome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Foundations and design system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Project setup, data model, reusable interface components, navigation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Onboarding and waitlist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Welcome, invitation codes, city capture, compatibility questionnaire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Membership and payments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Stripe tiers, subscriptions, per-event payments and the refundable deposit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The weekly loop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Home, invitation, venue detail, seat confirmation, table view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Continuity and completion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Group messaging, notifications, ratings, connections, matching, admin layer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Refinement (round 1)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Visual polish, motion and theming; first review on device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Refinement (round 2)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Device testing, payment and deposit edge cases, bug fixing; second review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Launch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App store listing, submission, review response and go-live</w:t>
            </w:r>
          </w:p>
        </w:tc>
      </w:tr>
    </w:tbl>
    <w:p/>
    <w:p>
      <w:pPr>
        <w:pStyle w:val="Heading1"/>
      </w:pPr>
      <w:r>
        <w:t>8. Cost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752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Item</w:t>
            </w:r>
          </w:p>
        </w:tc>
        <w:tc>
          <w:tcPr>
            <w:tcW w:type="dxa" w:w="3168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Basis</w:t>
            </w:r>
          </w:p>
        </w:tc>
        <w:tc>
          <w:tcPr>
            <w:tcW w:type="dxa" w:w="2160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Amount</w:t>
            </w:r>
          </w:p>
        </w:tc>
      </w:tr>
      <w:tr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Application build (8-week fixed scope)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40 working days at $1,000 per day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$40,000</w:t>
            </w:r>
          </w:p>
        </w:tc>
      </w:tr>
      <w:tr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Total fixed price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Excluding GST and third-party costs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$40,000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  <w:sz w:val="21"/>
        </w:rPr>
        <w:t>The day rate is $1,000 per day. If budget is a constraint, a discounted rate can be discussed on request.</w:t>
      </w:r>
    </w:p>
    <w:p>
      <w:pPr>
        <w:pStyle w:val="Heading1"/>
      </w:pPr>
      <w:r>
        <w:t>9. Payment Schedule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engagement is invoiced weekly. Each weekly invoice is $5,000 (five working days at $1,000 per day), for eight weeks.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Invoice</w:t>
            </w:r>
          </w:p>
        </w:tc>
        <w:tc>
          <w:tcPr>
            <w:tcW w:type="dxa" w:w="4320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Timing</w:t>
            </w:r>
          </w:p>
        </w:tc>
        <w:tc>
          <w:tcPr>
            <w:tcW w:type="dxa" w:w="2160"/>
            <w:shd w:val="clear" w:color="auto" w:fill="D9D9D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Week 1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End of Week 1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$5,000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Week 2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End of Week 2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$5,000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Week 3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End of Week 3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$5,000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Week 4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End of Week 4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$5,000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Week 5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End of Week 5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$5,000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Week 6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End of Week 6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$5,000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Week 7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End of Week 7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$5,000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Week 8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End of Week 8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$5,000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Total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8 weekly invoices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$40,000</w:t>
            </w:r>
          </w:p>
        </w:tc>
      </w:tr>
    </w:tbl>
    <w:p/>
    <w:p>
      <w:pPr>
        <w:spacing w:after="120"/>
      </w:pPr>
      <w:r>
        <w:rPr>
          <w:b w:val="0"/>
          <w:i w:val="0"/>
          <w:color w:val="555555"/>
          <w:sz w:val="21"/>
        </w:rPr>
        <w:t>Each weekly invoice is issued at the end of the week, with payment due within 7 days.</w:t>
      </w:r>
    </w:p>
    <w:p>
      <w:pPr>
        <w:pStyle w:val="Heading1"/>
      </w:pPr>
      <w:r>
        <w:t>10. Decisions Required Before Work Begins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following decisions affect scope, cost or compliance and should be confirmed at the start.</w:t>
      </w:r>
    </w:p>
    <w:p>
      <w:pPr>
        <w:pStyle w:val="ListNumber"/>
        <w:spacing w:after="60"/>
      </w:pPr>
      <w:r>
        <w:rPr>
          <w:sz w:val="22"/>
        </w:rPr>
        <w:t>Payments and app store policy. Access to in-person dining is a real-world service, which is generally exempt from Apple's mandatory in-app purchase rules, allowing payments to run through Stripe. This should be confirmed early. Requires client sign-off.</w:t>
      </w:r>
    </w:p>
    <w:p>
      <w:pPr>
        <w:pStyle w:val="ListNumber"/>
        <w:spacing w:after="60"/>
      </w:pPr>
      <w:r>
        <w:rPr>
          <w:sz w:val="22"/>
        </w:rPr>
        <w:t>Deposit and attendance confirmation. How attendance is confirmed in order to release the deposit. Recommended approach for launch is operator confirmation.</w:t>
      </w:r>
    </w:p>
    <w:p>
      <w:pPr>
        <w:pStyle w:val="ListNumber"/>
        <w:spacing w:after="60"/>
      </w:pPr>
      <w:r>
        <w:rPr>
          <w:sz w:val="22"/>
        </w:rPr>
        <w:t>Trust and safety. Baseline reporting, blocking and a code of conduct are included for launch. Identity verification is a fast-follow. Requires client sign-off.</w:t>
      </w:r>
    </w:p>
    <w:p>
      <w:pPr>
        <w:pStyle w:val="ListNumber"/>
        <w:spacing w:after="60"/>
      </w:pPr>
      <w:r>
        <w:rPr>
          <w:sz w:val="22"/>
        </w:rPr>
        <w:t>Launch city and platform. A single city on iOS for launch, with Android as a fast-follow.</w:t>
      </w:r>
    </w:p>
    <w:p>
      <w:pPr>
        <w:pStyle w:val="ListNumber"/>
        <w:spacing w:after="60"/>
      </w:pPr>
      <w:r>
        <w:rPr>
          <w:sz w:val="22"/>
        </w:rPr>
        <w:t>Legal and compliance. Terms of service, privacy policy and event liability. To be prepared with a lawyer and budgeted separately. Requires client sign-off.</w:t>
      </w:r>
    </w:p>
    <w:p>
      <w:pPr>
        <w:pStyle w:val="Heading1"/>
      </w:pPr>
      <w:r>
        <w:t>11. Fast-Follows After Launch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following items are intentionally scheduled after launch to protect the 8-week timeline.</w:t>
      </w:r>
    </w:p>
    <w:p>
      <w:pPr>
        <w:pStyle w:val="Heading2"/>
      </w:pPr>
      <w:r>
        <w:t>Near-term (approximately 2 to 3 weeks combined)</w:t>
      </w:r>
    </w:p>
    <w:p>
      <w:pPr>
        <w:pStyle w:val="ListBullet"/>
        <w:spacing w:after="60"/>
      </w:pPr>
      <w:r>
        <w:rPr>
          <w:sz w:val="22"/>
        </w:rPr>
        <w:t>Android build and Google Play release.</w:t>
      </w:r>
    </w:p>
    <w:p>
      <w:pPr>
        <w:pStyle w:val="ListBullet"/>
        <w:spacing w:after="60"/>
      </w:pPr>
      <w:r>
        <w:rPr>
          <w:sz w:val="22"/>
        </w:rPr>
        <w:t>Full operations back-office for managing groups, venues and tables.</w:t>
      </w:r>
    </w:p>
    <w:p>
      <w:pPr>
        <w:pStyle w:val="ListBullet"/>
        <w:spacing w:after="60"/>
      </w:pPr>
      <w:r>
        <w:rPr>
          <w:sz w:val="22"/>
        </w:rPr>
        <w:t>Trust and safety improvements including identity verification.</w:t>
      </w:r>
    </w:p>
    <w:p>
      <w:pPr>
        <w:pStyle w:val="Heading2"/>
      </w:pPr>
      <w:r>
        <w:t>Later phases</w:t>
      </w:r>
    </w:p>
    <w:p>
      <w:pPr>
        <w:pStyle w:val="ListBullet"/>
        <w:spacing w:after="60"/>
      </w:pPr>
      <w:r>
        <w:rPr>
          <w:sz w:val="22"/>
        </w:rPr>
        <w:t>Data-driven matching once dinner history is available.</w:t>
      </w:r>
    </w:p>
    <w:p>
      <w:pPr>
        <w:pStyle w:val="ListBullet"/>
        <w:spacing w:after="60"/>
      </w:pPr>
      <w:r>
        <w:rPr>
          <w:sz w:val="22"/>
        </w:rPr>
        <w:t>Expansion to additional cities.</w:t>
      </w:r>
    </w:p>
    <w:p>
      <w:pPr>
        <w:pStyle w:val="ListBullet"/>
        <w:spacing w:after="60"/>
      </w:pPr>
      <w:r>
        <w:rPr>
          <w:sz w:val="22"/>
        </w:rPr>
        <w:t>Black tier tooling and premium event formats.</w:t>
      </w:r>
    </w:p>
    <w:p>
      <w:pPr>
        <w:pStyle w:val="ListBullet"/>
        <w:spacing w:after="60"/>
      </w:pPr>
      <w:r>
        <w:rPr>
          <w:sz w:val="22"/>
        </w:rPr>
        <w:t>Venue self-service portal and venue payouts.</w:t>
      </w:r>
    </w:p>
    <w:p>
      <w:pPr>
        <w:pStyle w:val="ListBullet"/>
        <w:spacing w:after="60"/>
      </w:pPr>
      <w:r>
        <w:rPr>
          <w:sz w:val="22"/>
        </w:rPr>
        <w:t>Referrals and gift memberships.</w:t>
      </w:r>
    </w:p>
    <w:p>
      <w:pPr>
        <w:pStyle w:val="ListBullet"/>
        <w:spacing w:after="60"/>
      </w:pPr>
      <w:r>
        <w:rPr>
          <w:sz w:val="22"/>
        </w:rPr>
        <w:t>Member web application and advanced reporting.</w:t>
      </w:r>
    </w:p>
    <w:p>
      <w:pPr>
        <w:pStyle w:val="Heading1"/>
      </w:pPr>
      <w:r>
        <w:t>12. Assumptions</w:t>
      </w:r>
    </w:p>
    <w:p>
      <w:pPr>
        <w:pStyle w:val="ListBullet"/>
        <w:spacing w:after="60"/>
      </w:pPr>
      <w:r>
        <w:rPr>
          <w:sz w:val="22"/>
        </w:rPr>
        <w:t>One launch city on iOS for the initial version.</w:t>
      </w:r>
    </w:p>
    <w:p>
      <w:pPr>
        <w:pStyle w:val="ListBullet"/>
        <w:spacing w:after="60"/>
      </w:pPr>
      <w:r>
        <w:rPr>
          <w:sz w:val="22"/>
        </w:rPr>
        <w:t>Scope is fixed at the start of the engagement. New requests are recorded for a later phase.</w:t>
      </w:r>
    </w:p>
    <w:p>
      <w:pPr>
        <w:pStyle w:val="ListBullet"/>
        <w:spacing w:after="60"/>
      </w:pPr>
      <w:r>
        <w:rPr>
          <w:sz w:val="22"/>
        </w:rPr>
        <w:t>Table matching is rule-based and operator-assisted for the launch version.</w:t>
      </w:r>
    </w:p>
    <w:p>
      <w:pPr>
        <w:pStyle w:val="ListBullet"/>
        <w:spacing w:after="60"/>
      </w:pPr>
      <w:r>
        <w:rPr>
          <w:sz w:val="22"/>
        </w:rPr>
        <w:t>The client is responsible for venues, curation decisions and content.</w:t>
      </w:r>
    </w:p>
    <w:p>
      <w:pPr>
        <w:pStyle w:val="ListBullet"/>
        <w:spacing w:after="60"/>
      </w:pPr>
      <w:r>
        <w:rPr>
          <w:sz w:val="22"/>
        </w:rPr>
        <w:t>Brand and design are provided and final.</w:t>
      </w:r>
    </w:p>
    <w:p>
      <w:pPr>
        <w:pStyle w:val="ListBullet"/>
        <w:spacing w:after="60"/>
      </w:pPr>
      <w:r>
        <w:rPr>
          <w:sz w:val="22"/>
        </w:rPr>
        <w:t>Payments use Stripe under the real-world-service exemption, subject to confirmation.</w:t>
      </w:r>
    </w:p>
    <w:p>
      <w:pPr>
        <w:pStyle w:val="Heading1"/>
      </w:pPr>
      <w:r>
        <w:t>13. Costs Not Included in This Quote</w:t>
      </w:r>
    </w:p>
    <w:p>
      <w:pPr>
        <w:pStyle w:val="ListBullet"/>
        <w:spacing w:after="60"/>
      </w:pPr>
      <w:r>
        <w:rPr>
          <w:sz w:val="22"/>
        </w:rPr>
        <w:t>Apple Developer account ($99 per year) and Google Play account ($25 one-off).</w:t>
      </w:r>
    </w:p>
    <w:p>
      <w:pPr>
        <w:pStyle w:val="ListBullet"/>
        <w:spacing w:after="60"/>
      </w:pPr>
      <w:r>
        <w:rPr>
          <w:sz w:val="22"/>
        </w:rPr>
        <w:t>Usage-based service costs: Supabase, Stripe fees, Mapbox, notifications and monitoring.</w:t>
      </w:r>
    </w:p>
    <w:p>
      <w:pPr>
        <w:pStyle w:val="ListBullet"/>
        <w:spacing w:after="60"/>
      </w:pPr>
      <w:r>
        <w:rPr>
          <w:sz w:val="22"/>
        </w:rPr>
        <w:t>Legal review of terms, privacy and liability.</w:t>
      </w:r>
    </w:p>
    <w:p>
      <w:pPr>
        <w:pStyle w:val="ListBullet"/>
        <w:spacing w:after="60"/>
      </w:pPr>
      <w:r>
        <w:rPr>
          <w:sz w:val="22"/>
        </w:rPr>
        <w:t>Font licensing and any premium assets.</w:t>
      </w:r>
    </w:p>
    <w:p>
      <w:pPr>
        <w:pStyle w:val="ListBullet"/>
        <w:spacing w:after="60"/>
      </w:pPr>
      <w:r>
        <w:rPr>
          <w:sz w:val="22"/>
        </w:rPr>
        <w:t>Goods and services tax (GST), if applicable.</w:t>
      </w:r>
    </w:p>
    <w:p>
      <w:pPr>
        <w:pStyle w:val="Heading1"/>
      </w:pPr>
      <w:r>
        <w:t>14. Next Steps</w:t>
      </w:r>
    </w:p>
    <w:p>
      <w:pPr>
        <w:pStyle w:val="ListNumber"/>
        <w:spacing w:after="60"/>
      </w:pPr>
      <w:r>
        <w:rPr>
          <w:sz w:val="22"/>
        </w:rPr>
        <w:t>Confirm acceptance of this proposal and the 8-week fixed scope.</w:t>
      </w:r>
    </w:p>
    <w:p>
      <w:pPr>
        <w:pStyle w:val="ListNumber"/>
        <w:spacing w:after="60"/>
      </w:pPr>
      <w:r>
        <w:rPr>
          <w:sz w:val="22"/>
        </w:rPr>
        <w:t>Confirm the items marked for sign-off in Section 9.</w:t>
      </w:r>
    </w:p>
    <w:p>
      <w:pPr>
        <w:pStyle w:val="ListNumber"/>
        <w:spacing w:after="60"/>
      </w:pPr>
      <w:r>
        <w:rPr>
          <w:sz w:val="22"/>
        </w:rPr>
        <w:t>Countersign and return, and settle the commencement invoice.</w:t>
      </w:r>
    </w:p>
    <w:p>
      <w:pPr>
        <w:pStyle w:val="ListNumber"/>
        <w:spacing w:after="60"/>
      </w:pPr>
      <w:r>
        <w:rPr>
          <w:sz w:val="22"/>
        </w:rPr>
        <w:t>Begin Week 1. A running build will be available on device within the first week.</w:t>
      </w:r>
    </w:p>
    <w:p/>
    <w:p>
      <w:r>
        <w:rPr>
          <w:color w:val="555555"/>
          <w:sz w:val="18"/>
        </w:rPr>
        <w:t>Prepared by Gary Shannon  |  10 July 2026  |  Day rate $1,000 per 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