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44"/>
        </w:rPr>
        <w:t>Proposal and Scope of Work</w:t>
      </w:r>
    </w:p>
    <w:p>
      <w:pPr>
        <w:spacing w:after="200"/>
      </w:pPr>
      <w:r>
        <w:rPr>
          <w:color w:val="555555"/>
          <w:sz w:val="26"/>
        </w:rPr>
        <w:t>Gather - Mobile Application (iOS)</w:t>
      </w:r>
    </w:p>
    <w:tbl>
      <w:tblPr>
        <w:tblStyle w:val="TableGrid"/>
        <w:tblW w:type="auto" w:w="0"/>
        <w:jc w:val="left"/>
        <w:tblLook w:firstColumn="1" w:firstRow="1" w:lastColumn="0" w:lastRow="0" w:noHBand="0" w:noVBand="1" w:val="04A0"/>
      </w:tblPr>
      <w:tblGrid>
        <w:gridCol w:w="4320"/>
        <w:gridCol w:w="4320"/>
      </w:tblGrid>
      <w:tr>
        <w:tc>
          <w:tcPr>
            <w:tcW w:type="dxa" w:w="2880"/>
            <w:shd w:val="clear" w:color="auto" w:fill="D9D9D9"/>
          </w:tcPr>
          <w:p>
            <w:pPr>
              <w:spacing w:after="40" w:before="40"/>
            </w:pPr>
            <w:r/>
            <w:r>
              <w:rPr>
                <w:rFonts w:ascii="Calibri" w:hAnsi="Calibri"/>
                <w:b/>
                <w:color w:val="000000"/>
                <w:sz w:val="21"/>
              </w:rPr>
              <w:t>Field</w:t>
            </w:r>
          </w:p>
        </w:tc>
        <w:tc>
          <w:tcPr>
            <w:tcW w:type="dxa" w:w="6480"/>
            <w:shd w:val="clear" w:color="auto" w:fill="D9D9D9"/>
          </w:tcPr>
          <w:p>
            <w:pPr>
              <w:spacing w:after="40" w:before="40"/>
            </w:pPr>
            <w:r/>
            <w:r>
              <w:rPr>
                <w:rFonts w:ascii="Calibri" w:hAnsi="Calibri"/>
                <w:b/>
                <w:color w:val="000000"/>
                <w:sz w:val="21"/>
              </w:rPr>
              <w:t>Detail</w:t>
            </w:r>
          </w:p>
        </w:tc>
      </w:tr>
      <w:tr>
        <w:tc>
          <w:tcPr>
            <w:tcW w:type="dxa" w:w="2880"/>
          </w:tcPr>
          <w:p>
            <w:pPr>
              <w:spacing w:after="40" w:before="40"/>
            </w:pPr>
            <w:r/>
            <w:r>
              <w:rPr>
                <w:rFonts w:ascii="Calibri" w:hAnsi="Calibri"/>
                <w:b w:val="0"/>
                <w:color w:val="000000"/>
                <w:sz w:val="21"/>
              </w:rPr>
              <w:t>Prepared by</w:t>
            </w:r>
          </w:p>
        </w:tc>
        <w:tc>
          <w:tcPr>
            <w:tcW w:type="dxa" w:w="6480"/>
          </w:tcPr>
          <w:p>
            <w:pPr>
              <w:spacing w:after="40" w:before="40"/>
            </w:pPr>
            <w:r/>
            <w:r>
              <w:rPr>
                <w:rFonts w:ascii="Calibri" w:hAnsi="Calibri"/>
                <w:b w:val="0"/>
                <w:color w:val="000000"/>
                <w:sz w:val="21"/>
              </w:rPr>
              <w:t>Gary Shannon (Lead Architect)</w:t>
            </w:r>
          </w:p>
        </w:tc>
      </w:tr>
      <w:tr>
        <w:tc>
          <w:tcPr>
            <w:tcW w:type="dxa" w:w="2880"/>
          </w:tcPr>
          <w:p>
            <w:pPr>
              <w:spacing w:after="40" w:before="40"/>
            </w:pPr>
            <w:r/>
            <w:r>
              <w:rPr>
                <w:rFonts w:ascii="Calibri" w:hAnsi="Calibri"/>
                <w:b w:val="0"/>
                <w:color w:val="000000"/>
                <w:sz w:val="21"/>
              </w:rPr>
              <w:t>Project team</w:t>
            </w:r>
          </w:p>
        </w:tc>
        <w:tc>
          <w:tcPr>
            <w:tcW w:type="dxa" w:w="6480"/>
          </w:tcPr>
          <w:p>
            <w:pPr>
              <w:spacing w:after="40" w:before="40"/>
            </w:pPr>
            <w:r/>
            <w:r>
              <w:rPr>
                <w:rFonts w:ascii="Calibri" w:hAnsi="Calibri"/>
                <w:b w:val="0"/>
                <w:color w:val="000000"/>
                <w:sz w:val="21"/>
              </w:rPr>
              <w:t>Lead Architect plus a dedicated support engineer</w:t>
            </w:r>
          </w:p>
        </w:tc>
      </w:tr>
      <w:tr>
        <w:tc>
          <w:tcPr>
            <w:tcW w:type="dxa" w:w="2880"/>
          </w:tcPr>
          <w:p>
            <w:pPr>
              <w:spacing w:after="40" w:before="40"/>
            </w:pPr>
            <w:r/>
            <w:r>
              <w:rPr>
                <w:rFonts w:ascii="Calibri" w:hAnsi="Calibri"/>
                <w:b w:val="0"/>
                <w:color w:val="000000"/>
                <w:sz w:val="21"/>
              </w:rPr>
              <w:t>Client</w:t>
            </w:r>
          </w:p>
        </w:tc>
        <w:tc>
          <w:tcPr>
            <w:tcW w:type="dxa" w:w="6480"/>
          </w:tcPr>
          <w:p>
            <w:pPr>
              <w:spacing w:after="40" w:before="40"/>
            </w:pPr>
            <w:r/>
            <w:r>
              <w:rPr>
                <w:rFonts w:ascii="Calibri" w:hAnsi="Calibri"/>
                <w:b w:val="0"/>
                <w:color w:val="000000"/>
                <w:sz w:val="21"/>
              </w:rPr>
              <w:t>Gather Pty Ltd</w:t>
            </w:r>
          </w:p>
        </w:tc>
      </w:tr>
      <w:tr>
        <w:tc>
          <w:tcPr>
            <w:tcW w:type="dxa" w:w="2880"/>
          </w:tcPr>
          <w:p>
            <w:pPr>
              <w:spacing w:after="40" w:before="40"/>
            </w:pPr>
            <w:r/>
            <w:r>
              <w:rPr>
                <w:rFonts w:ascii="Calibri" w:hAnsi="Calibri"/>
                <w:b w:val="0"/>
                <w:color w:val="000000"/>
                <w:sz w:val="21"/>
              </w:rPr>
              <w:t>Date</w:t>
            </w:r>
          </w:p>
        </w:tc>
        <w:tc>
          <w:tcPr>
            <w:tcW w:type="dxa" w:w="6480"/>
          </w:tcPr>
          <w:p>
            <w:pPr>
              <w:spacing w:after="40" w:before="40"/>
            </w:pPr>
            <w:r/>
            <w:r>
              <w:rPr>
                <w:rFonts w:ascii="Calibri" w:hAnsi="Calibri"/>
                <w:b w:val="0"/>
                <w:color w:val="000000"/>
                <w:sz w:val="21"/>
              </w:rPr>
              <w:t>10 July 2026</w:t>
            </w:r>
          </w:p>
        </w:tc>
      </w:tr>
      <w:tr>
        <w:tc>
          <w:tcPr>
            <w:tcW w:type="dxa" w:w="2880"/>
          </w:tcPr>
          <w:p>
            <w:pPr>
              <w:spacing w:after="40" w:before="40"/>
            </w:pPr>
            <w:r/>
            <w:r>
              <w:rPr>
                <w:rFonts w:ascii="Calibri" w:hAnsi="Calibri"/>
                <w:b w:val="0"/>
                <w:color w:val="000000"/>
                <w:sz w:val="21"/>
              </w:rPr>
              <w:t>Engagement type</w:t>
            </w:r>
          </w:p>
        </w:tc>
        <w:tc>
          <w:tcPr>
            <w:tcW w:type="dxa" w:w="6480"/>
          </w:tcPr>
          <w:p>
            <w:pPr>
              <w:spacing w:after="40" w:before="40"/>
            </w:pPr>
            <w:r/>
            <w:r>
              <w:rPr>
                <w:rFonts w:ascii="Calibri" w:hAnsi="Calibri"/>
                <w:b w:val="0"/>
                <w:color w:val="000000"/>
                <w:sz w:val="21"/>
              </w:rPr>
              <w:t>Fixed-scope mobile application build</w:t>
            </w:r>
          </w:p>
        </w:tc>
      </w:tr>
      <w:tr>
        <w:tc>
          <w:tcPr>
            <w:tcW w:type="dxa" w:w="2880"/>
          </w:tcPr>
          <w:p>
            <w:pPr>
              <w:spacing w:after="40" w:before="40"/>
            </w:pPr>
            <w:r/>
            <w:r>
              <w:rPr>
                <w:rFonts w:ascii="Calibri" w:hAnsi="Calibri"/>
                <w:b w:val="0"/>
                <w:color w:val="000000"/>
                <w:sz w:val="21"/>
              </w:rPr>
              <w:t>Duration</w:t>
            </w:r>
          </w:p>
        </w:tc>
        <w:tc>
          <w:tcPr>
            <w:tcW w:type="dxa" w:w="6480"/>
          </w:tcPr>
          <w:p>
            <w:pPr>
              <w:spacing w:after="40" w:before="40"/>
            </w:pPr>
            <w:r/>
            <w:r>
              <w:rPr>
                <w:rFonts w:ascii="Calibri" w:hAnsi="Calibri"/>
                <w:b w:val="0"/>
                <w:color w:val="000000"/>
                <w:sz w:val="21"/>
              </w:rPr>
              <w:t>8 weeks (40 working days)</w:t>
            </w:r>
          </w:p>
        </w:tc>
      </w:tr>
      <w:tr>
        <w:tc>
          <w:tcPr>
            <w:tcW w:type="dxa" w:w="2880"/>
          </w:tcPr>
          <w:p>
            <w:pPr>
              <w:spacing w:after="40" w:before="40"/>
            </w:pPr>
            <w:r/>
            <w:r>
              <w:rPr>
                <w:rFonts w:ascii="Calibri" w:hAnsi="Calibri"/>
                <w:b w:val="0"/>
                <w:color w:val="000000"/>
                <w:sz w:val="21"/>
              </w:rPr>
              <w:t>Day rate</w:t>
            </w:r>
          </w:p>
        </w:tc>
        <w:tc>
          <w:tcPr>
            <w:tcW w:type="dxa" w:w="6480"/>
          </w:tcPr>
          <w:p>
            <w:pPr>
              <w:spacing w:after="40" w:before="40"/>
            </w:pPr>
            <w:r/>
            <w:r>
              <w:rPr>
                <w:rFonts w:ascii="Calibri" w:hAnsi="Calibri"/>
                <w:b w:val="0"/>
                <w:color w:val="000000"/>
                <w:sz w:val="21"/>
              </w:rPr>
              <w:t>$1,000 per day (a discounted rate can be discussed if required)</w:t>
            </w:r>
          </w:p>
        </w:tc>
      </w:tr>
      <w:tr>
        <w:tc>
          <w:tcPr>
            <w:tcW w:type="dxa" w:w="2880"/>
          </w:tcPr>
          <w:p>
            <w:pPr>
              <w:spacing w:after="40" w:before="40"/>
            </w:pPr>
            <w:r/>
            <w:r>
              <w:rPr>
                <w:rFonts w:ascii="Calibri" w:hAnsi="Calibri"/>
                <w:b w:val="0"/>
                <w:color w:val="000000"/>
                <w:sz w:val="21"/>
              </w:rPr>
              <w:t>Total fixed price</w:t>
            </w:r>
          </w:p>
        </w:tc>
        <w:tc>
          <w:tcPr>
            <w:tcW w:type="dxa" w:w="6480"/>
          </w:tcPr>
          <w:p>
            <w:pPr>
              <w:spacing w:after="40" w:before="40"/>
            </w:pPr>
            <w:r/>
            <w:r>
              <w:rPr>
                <w:rFonts w:ascii="Calibri" w:hAnsi="Calibri"/>
                <w:b w:val="0"/>
                <w:color w:val="000000"/>
                <w:sz w:val="21"/>
              </w:rPr>
              <w:t>$40,000 (excluding GST and third-party costs)</w:t>
            </w:r>
          </w:p>
        </w:tc>
      </w:tr>
    </w:tbl>
    <w:p/>
    <w:p>
      <w:pPr>
        <w:pStyle w:val="Heading1"/>
      </w:pPr>
      <w:r>
        <w:t>1. Executive Summary</w:t>
      </w:r>
    </w:p>
    <w:p>
      <w:pPr>
        <w:spacing w:after="120"/>
      </w:pPr>
      <w:r>
        <w:rPr>
          <w:b w:val="0"/>
          <w:i w:val="0"/>
          <w:color w:val="000000"/>
          <w:sz w:val="22"/>
        </w:rPr>
        <w:t>Gather is a premium, invitation-only dining membership mobile application. Members receive one curated dinner invitation per week: a table of six compatible people at a vetted venue. The experience is designed end to end and includes onboarding by request, compatibility-based matching, a refundable deposit that encourages attendance, a group message thread before and after each dinner, and a continuity layer that turns one-off dinners into ongoing groups.</w:t>
      </w:r>
    </w:p>
    <w:p>
      <w:pPr>
        <w:spacing w:after="120"/>
      </w:pPr>
      <w:r>
        <w:rPr>
          <w:b w:val="0"/>
          <w:i w:val="0"/>
          <w:color w:val="000000"/>
          <w:sz w:val="22"/>
        </w:rPr>
        <w:t>This document sets out the scope, technical approach, delivery schedule and cost to build a launch-ready version of the application for a single city on iOS. The work is delivered by a small dedicated team, led by Gary Shannon as Lead Architect and supported by a second engineer working on the project daily, using AI-assisted development tooling (Claude Code). This team structure is what makes the timeline and cost below achievable.</w:t>
      </w:r>
    </w:p>
    <w:p>
      <w:pPr>
        <w:spacing w:after="120"/>
      </w:pPr>
      <w:r>
        <w:rPr>
          <w:b w:val="0"/>
          <w:i w:val="0"/>
          <w:color w:val="000000"/>
          <w:sz w:val="22"/>
        </w:rPr>
        <w:t>The proposed engagement is an 8-week fixed-scope build at a day rate of $1,000 per day, for a total fixed price of $40,000. Approximately 2.5 of the 8 weeks are reserved for iterative refinement, testing and launch. If budget is a constraint, a discounted rate can be discussed.</w:t>
      </w:r>
    </w:p>
    <w:p>
      <w:pPr>
        <w:spacing w:after="120"/>
      </w:pPr>
      <w:r>
        <w:rPr>
          <w:b w:val="0"/>
          <w:i w:val="0"/>
          <w:color w:val="000000"/>
          <w:sz w:val="22"/>
        </w:rPr>
        <w:t>The engagement is structured with a two-week trial period and a review checkpoint at the end of Week 2, so that delivery speed and output can be assessed before the remaining work is committed (see Section 8).</w:t>
      </w:r>
    </w:p>
    <w:p>
      <w:pPr>
        <w:pStyle w:val="Heading1"/>
      </w:pPr>
      <w:r>
        <w:t>2. Note on Estimating</w:t>
      </w:r>
    </w:p>
    <w:p>
      <w:pPr>
        <w:spacing w:after="120"/>
      </w:pPr>
      <w:r>
        <w:rPr>
          <w:b w:val="0"/>
          <w:i w:val="0"/>
          <w:color w:val="000000"/>
          <w:sz w:val="22"/>
        </w:rPr>
        <w:t>AI-assisted development has materially changed the speed at which a small team can deliver software. It has also made precise date estimates less reliable, because each week of work now moves faster and with more variability than under traditional methods.</w:t>
      </w:r>
    </w:p>
    <w:p>
      <w:pPr>
        <w:spacing w:after="120"/>
      </w:pPr>
      <w:r>
        <w:rPr>
          <w:b w:val="0"/>
          <w:i w:val="0"/>
          <w:color w:val="000000"/>
          <w:sz w:val="22"/>
        </w:rPr>
        <w:t>The 8-week schedule should therefore be treated as the planning target rather than a guaranteed delivery date. Depending on scope discipline, third-party payment and app store review timelines, and the number of refinement rounds required, the work may complete slightly sooner or extend by a few weeks. To keep progress visible, a testable build will be provided at the end of every week for the duration of the engagement.</w:t>
      </w:r>
    </w:p>
    <w:p>
      <w:pPr>
        <w:pStyle w:val="Heading1"/>
      </w:pPr>
      <w:r>
        <w:t>3. Project Team</w:t>
      </w:r>
    </w:p>
    <w:p>
      <w:pPr>
        <w:spacing w:after="120"/>
      </w:pPr>
      <w:r>
        <w:rPr>
          <w:b w:val="0"/>
          <w:i w:val="0"/>
          <w:color w:val="000000"/>
          <w:sz w:val="22"/>
        </w:rPr>
        <w:t>The project is delivered by a dedicated two-person team.</w:t>
      </w:r>
    </w:p>
    <w:p>
      <w:pPr>
        <w:spacing w:after="40"/>
      </w:pPr>
      <w:r>
        <w:rPr>
          <w:b/>
          <w:i w:val="0"/>
          <w:color w:val="000000"/>
          <w:sz w:val="22"/>
        </w:rPr>
        <w:t>Lead Architect - Gary Shannon.</w:t>
      </w:r>
    </w:p>
    <w:p>
      <w:pPr>
        <w:pStyle w:val="ListBullet"/>
        <w:spacing w:after="60"/>
      </w:pPr>
      <w:r>
        <w:rPr>
          <w:sz w:val="22"/>
        </w:rPr>
        <w:t>Owns the technical design, system architecture and key engineering decisions.</w:t>
      </w:r>
    </w:p>
    <w:p>
      <w:pPr>
        <w:pStyle w:val="ListBullet"/>
        <w:spacing w:after="60"/>
      </w:pPr>
      <w:r>
        <w:rPr>
          <w:sz w:val="22"/>
        </w:rPr>
        <w:t>Leads the payments, data model and integration work, and overall delivery.</w:t>
      </w:r>
    </w:p>
    <w:p>
      <w:pPr>
        <w:pStyle w:val="ListBullet"/>
        <w:spacing w:after="60"/>
      </w:pPr>
      <w:r>
        <w:rPr>
          <w:sz w:val="22"/>
        </w:rPr>
        <w:t>Primary point of contact and accountable for quality and timeline.</w:t>
      </w:r>
    </w:p>
    <w:p>
      <w:pPr>
        <w:spacing w:after="40"/>
      </w:pPr>
      <w:r>
        <w:rPr>
          <w:b/>
          <w:i w:val="0"/>
          <w:color w:val="000000"/>
          <w:sz w:val="22"/>
        </w:rPr>
        <w:t>Support Engineer.</w:t>
      </w:r>
    </w:p>
    <w:p>
      <w:pPr>
        <w:pStyle w:val="ListBullet"/>
        <w:spacing w:after="60"/>
      </w:pPr>
      <w:r>
        <w:rPr>
          <w:sz w:val="22"/>
        </w:rPr>
        <w:t>A second resource assigned to the project and working on it daily.</w:t>
      </w:r>
    </w:p>
    <w:p>
      <w:pPr>
        <w:pStyle w:val="ListBullet"/>
        <w:spacing w:after="60"/>
      </w:pPr>
      <w:r>
        <w:rPr>
          <w:sz w:val="22"/>
        </w:rPr>
        <w:t>Assists with day-to-day engineering tasks, product work, testing and delivery support.</w:t>
      </w:r>
    </w:p>
    <w:p>
      <w:pPr>
        <w:pStyle w:val="ListBullet"/>
        <w:spacing w:after="60"/>
      </w:pPr>
      <w:r>
        <w:rPr>
          <w:sz w:val="22"/>
        </w:rPr>
        <w:t>Provides continuity and a second set of eyes throughout the build.</w:t>
      </w:r>
    </w:p>
    <w:p>
      <w:pPr>
        <w:spacing w:after="120"/>
      </w:pPr>
      <w:r>
        <w:rPr>
          <w:b w:val="0"/>
          <w:i/>
          <w:color w:val="555555"/>
          <w:sz w:val="21"/>
        </w:rPr>
        <w:t>Both roles are covered by the project day rate of $1,000 per day. The team structure increases delivery capacity and provides review and continuity at no change to the fixed price quoted in this proposal.</w:t>
      </w:r>
    </w:p>
    <w:p>
      <w:pPr>
        <w:pStyle w:val="Heading1"/>
      </w:pPr>
      <w:r>
        <w:t>4. Project Overview</w:t>
      </w:r>
    </w:p>
    <w:p>
      <w:pPr>
        <w:spacing w:after="120"/>
      </w:pPr>
      <w:r>
        <w:rPr>
          <w:b w:val="0"/>
          <w:i w:val="0"/>
          <w:color w:val="000000"/>
          <w:sz w:val="22"/>
        </w:rPr>
        <w:t>Gather is not a social feed and does not use swiping. Its differentiators are curation, accountability through a refundable deposit, transparent pricing, and continuity (keeping the people a member connects with over time). The application offers three membership tiers:</w:t>
      </w:r>
    </w:p>
    <w:tbl>
      <w:tblPr>
        <w:tblStyle w:val="TableGrid"/>
        <w:tblW w:type="auto" w:w="0"/>
        <w:jc w:val="left"/>
        <w:tblLook w:firstColumn="1" w:firstRow="1" w:lastColumn="0" w:lastRow="0" w:noHBand="0" w:noVBand="1" w:val="04A0"/>
      </w:tblPr>
      <w:tblGrid>
        <w:gridCol w:w="2880"/>
        <w:gridCol w:w="2880"/>
        <w:gridCol w:w="2880"/>
      </w:tblGrid>
      <w:tr>
        <w:tc>
          <w:tcPr>
            <w:tcW w:type="dxa" w:w="2016"/>
            <w:shd w:val="clear" w:color="auto" w:fill="D9D9D9"/>
          </w:tcPr>
          <w:p>
            <w:pPr>
              <w:spacing w:after="40" w:before="40"/>
            </w:pPr>
            <w:r/>
            <w:r>
              <w:rPr>
                <w:rFonts w:ascii="Calibri" w:hAnsi="Calibri"/>
                <w:b/>
                <w:color w:val="000000"/>
                <w:sz w:val="21"/>
              </w:rPr>
              <w:t>Tier</w:t>
            </w:r>
          </w:p>
        </w:tc>
        <w:tc>
          <w:tcPr>
            <w:tcW w:type="dxa" w:w="2592"/>
            <w:shd w:val="clear" w:color="auto" w:fill="D9D9D9"/>
          </w:tcPr>
          <w:p>
            <w:pPr>
              <w:spacing w:after="40" w:before="40"/>
            </w:pPr>
            <w:r/>
            <w:r>
              <w:rPr>
                <w:rFonts w:ascii="Calibri" w:hAnsi="Calibri"/>
                <w:b/>
                <w:color w:val="000000"/>
                <w:sz w:val="21"/>
              </w:rPr>
              <w:t>Price</w:t>
            </w:r>
          </w:p>
        </w:tc>
        <w:tc>
          <w:tcPr>
            <w:tcW w:type="dxa" w:w="4752"/>
            <w:shd w:val="clear" w:color="auto" w:fill="D9D9D9"/>
          </w:tcPr>
          <w:p>
            <w:pPr>
              <w:spacing w:after="40" w:before="40"/>
            </w:pPr>
            <w:r/>
            <w:r>
              <w:rPr>
                <w:rFonts w:ascii="Calibri" w:hAnsi="Calibri"/>
                <w:b/>
                <w:color w:val="000000"/>
                <w:sz w:val="21"/>
              </w:rPr>
              <w:t>Includes</w:t>
            </w:r>
          </w:p>
        </w:tc>
      </w:tr>
      <w:tr>
        <w:tc>
          <w:tcPr>
            <w:tcW w:type="dxa" w:w="2016"/>
          </w:tcPr>
          <w:p>
            <w:pPr>
              <w:spacing w:after="40" w:before="40"/>
            </w:pPr>
            <w:r/>
            <w:r>
              <w:rPr>
                <w:rFonts w:ascii="Calibri" w:hAnsi="Calibri"/>
                <w:b w:val="0"/>
                <w:color w:val="000000"/>
                <w:sz w:val="21"/>
              </w:rPr>
              <w:t>Core</w:t>
            </w:r>
          </w:p>
        </w:tc>
        <w:tc>
          <w:tcPr>
            <w:tcW w:type="dxa" w:w="2592"/>
          </w:tcPr>
          <w:p>
            <w:pPr>
              <w:spacing w:after="40" w:before="40"/>
            </w:pPr>
            <w:r/>
            <w:r>
              <w:rPr>
                <w:rFonts w:ascii="Calibri" w:hAnsi="Calibri"/>
                <w:b w:val="0"/>
                <w:color w:val="000000"/>
                <w:sz w:val="21"/>
              </w:rPr>
              <w:t>$1.99 per month</w:t>
            </w:r>
          </w:p>
        </w:tc>
        <w:tc>
          <w:tcPr>
            <w:tcW w:type="dxa" w:w="4752"/>
          </w:tcPr>
          <w:p>
            <w:pPr>
              <w:spacing w:after="40" w:before="40"/>
            </w:pPr>
            <w:r/>
            <w:r>
              <w:rPr>
                <w:rFonts w:ascii="Calibri" w:hAnsi="Calibri"/>
                <w:b w:val="0"/>
                <w:color w:val="000000"/>
                <w:sz w:val="21"/>
              </w:rPr>
              <w:t>Pay as you dine at $49 per event</w:t>
            </w:r>
          </w:p>
        </w:tc>
      </w:tr>
      <w:tr>
        <w:tc>
          <w:tcPr>
            <w:tcW w:type="dxa" w:w="2016"/>
          </w:tcPr>
          <w:p>
            <w:pPr>
              <w:spacing w:after="40" w:before="40"/>
            </w:pPr>
            <w:r/>
            <w:r>
              <w:rPr>
                <w:rFonts w:ascii="Calibri" w:hAnsi="Calibri"/>
                <w:b w:val="0"/>
                <w:color w:val="000000"/>
                <w:sz w:val="21"/>
              </w:rPr>
              <w:t>Unlimited</w:t>
            </w:r>
          </w:p>
        </w:tc>
        <w:tc>
          <w:tcPr>
            <w:tcW w:type="dxa" w:w="2592"/>
          </w:tcPr>
          <w:p>
            <w:pPr>
              <w:spacing w:after="40" w:before="40"/>
            </w:pPr>
            <w:r/>
            <w:r>
              <w:rPr>
                <w:rFonts w:ascii="Calibri" w:hAnsi="Calibri"/>
                <w:b w:val="0"/>
                <w:color w:val="000000"/>
                <w:sz w:val="21"/>
              </w:rPr>
              <w:t>$44.99 per month</w:t>
            </w:r>
          </w:p>
        </w:tc>
        <w:tc>
          <w:tcPr>
            <w:tcW w:type="dxa" w:w="4752"/>
          </w:tcPr>
          <w:p>
            <w:pPr>
              <w:spacing w:after="40" w:before="40"/>
            </w:pPr>
            <w:r/>
            <w:r>
              <w:rPr>
                <w:rFonts w:ascii="Calibri" w:hAnsi="Calibri"/>
                <w:b w:val="0"/>
                <w:color w:val="000000"/>
                <w:sz w:val="21"/>
              </w:rPr>
              <w:t>All standard dinners included, priority booking</w:t>
            </w:r>
          </w:p>
        </w:tc>
      </w:tr>
      <w:tr>
        <w:tc>
          <w:tcPr>
            <w:tcW w:type="dxa" w:w="2016"/>
          </w:tcPr>
          <w:p>
            <w:pPr>
              <w:spacing w:after="40" w:before="40"/>
            </w:pPr>
            <w:r/>
            <w:r>
              <w:rPr>
                <w:rFonts w:ascii="Calibri" w:hAnsi="Calibri"/>
                <w:b w:val="0"/>
                <w:color w:val="000000"/>
                <w:sz w:val="21"/>
              </w:rPr>
              <w:t>Black</w:t>
            </w:r>
          </w:p>
        </w:tc>
        <w:tc>
          <w:tcPr>
            <w:tcW w:type="dxa" w:w="2592"/>
          </w:tcPr>
          <w:p>
            <w:pPr>
              <w:spacing w:after="40" w:before="40"/>
            </w:pPr>
            <w:r/>
            <w:r>
              <w:rPr>
                <w:rFonts w:ascii="Calibri" w:hAnsi="Calibri"/>
                <w:b w:val="0"/>
                <w:color w:val="000000"/>
                <w:sz w:val="21"/>
              </w:rPr>
              <w:t>Invitation only</w:t>
            </w:r>
          </w:p>
        </w:tc>
        <w:tc>
          <w:tcPr>
            <w:tcW w:type="dxa" w:w="4752"/>
          </w:tcPr>
          <w:p>
            <w:pPr>
              <w:spacing w:after="40" w:before="40"/>
            </w:pPr>
            <w:r/>
            <w:r>
              <w:rPr>
                <w:rFonts w:ascii="Calibri" w:hAnsi="Calibri"/>
                <w:b w:val="0"/>
                <w:color w:val="000000"/>
                <w:sz w:val="21"/>
              </w:rPr>
              <w:t>Private formats, chef's table events, concierge curation</w:t>
            </w:r>
          </w:p>
        </w:tc>
      </w:tr>
    </w:tbl>
    <w:p/>
    <w:p>
      <w:pPr>
        <w:spacing w:after="120"/>
      </w:pPr>
      <w:r>
        <w:rPr>
          <w:b w:val="0"/>
          <w:i/>
          <w:color w:val="555555"/>
          <w:sz w:val="21"/>
        </w:rPr>
        <w:t>The brand and visual design are already complete and provided as a design system. No separate design discovery phase is required; the work in this proposal implements that design.</w:t>
      </w:r>
    </w:p>
    <w:p>
      <w:pPr>
        <w:pStyle w:val="Heading1"/>
      </w:pPr>
      <w:r>
        <w:t>5. Scope of Work</w:t>
      </w:r>
    </w:p>
    <w:p>
      <w:pPr>
        <w:spacing w:after="120"/>
      </w:pPr>
      <w:r>
        <w:rPr>
          <w:b w:val="0"/>
          <w:i w:val="0"/>
          <w:color w:val="000000"/>
          <w:sz w:val="22"/>
        </w:rPr>
        <w:t>The launch version delivers the full member experience in four parts.</w:t>
      </w:r>
    </w:p>
    <w:p>
      <w:pPr>
        <w:pStyle w:val="Heading2"/>
      </w:pPr>
      <w:r>
        <w:t>5.1 Onboarding</w:t>
      </w:r>
    </w:p>
    <w:p>
      <w:pPr>
        <w:pStyle w:val="ListBullet"/>
        <w:spacing w:after="60"/>
      </w:pPr>
      <w:r>
        <w:rPr>
          <w:sz w:val="22"/>
        </w:rPr>
        <w:t>Request-based access with invitation codes and a welcome sequence.</w:t>
      </w:r>
    </w:p>
    <w:p>
      <w:pPr>
        <w:pStyle w:val="ListBullet"/>
        <w:spacing w:after="60"/>
      </w:pPr>
      <w:r>
        <w:rPr>
          <w:sz w:val="22"/>
        </w:rPr>
        <w:t>City and email capture with a waitlist position, opened by neighbourhood in small groups.</w:t>
      </w:r>
    </w:p>
    <w:p>
      <w:pPr>
        <w:pStyle w:val="ListBullet"/>
        <w:spacing w:after="60"/>
      </w:pPr>
      <w:r>
        <w:rPr>
          <w:sz w:val="22"/>
        </w:rPr>
        <w:t>Compatibility questionnaire covering intent, availability and conversation style.</w:t>
      </w:r>
    </w:p>
    <w:p>
      <w:pPr>
        <w:pStyle w:val="ListBullet"/>
        <w:spacing w:after="60"/>
      </w:pPr>
      <w:r>
        <w:rPr>
          <w:sz w:val="22"/>
        </w:rPr>
        <w:t>Membership tier selection.</w:t>
      </w:r>
    </w:p>
    <w:p>
      <w:pPr>
        <w:pStyle w:val="Heading2"/>
      </w:pPr>
      <w:r>
        <w:t>5.2 The Weekly Loop</w:t>
      </w:r>
    </w:p>
    <w:p>
      <w:pPr>
        <w:pStyle w:val="ListBullet"/>
        <w:spacing w:after="60"/>
      </w:pPr>
      <w:r>
        <w:rPr>
          <w:sz w:val="22"/>
        </w:rPr>
        <w:t>Home dashboard showing the week's invitation, member statistics and recent connections.</w:t>
      </w:r>
    </w:p>
    <w:p>
      <w:pPr>
        <w:pStyle w:val="ListBullet"/>
        <w:spacing w:after="60"/>
      </w:pPr>
      <w:r>
        <w:rPr>
          <w:sz w:val="22"/>
        </w:rPr>
        <w:t>Invitation detail with venue information and a table match score.</w:t>
      </w:r>
    </w:p>
    <w:p>
      <w:pPr>
        <w:pStyle w:val="ListBullet"/>
        <w:spacing w:after="60"/>
      </w:pPr>
      <w:r>
        <w:rPr>
          <w:sz w:val="22"/>
        </w:rPr>
        <w:t>Seat confirmation with a refundable deposit taken as a card hold.</w:t>
      </w:r>
    </w:p>
    <w:p>
      <w:pPr>
        <w:pStyle w:val="ListBullet"/>
        <w:spacing w:after="60"/>
      </w:pPr>
      <w:r>
        <w:rPr>
          <w:sz w:val="22"/>
        </w:rPr>
        <w:t>Table view showing the six attendees and the reasons for the match.</w:t>
      </w:r>
    </w:p>
    <w:p>
      <w:pPr>
        <w:pStyle w:val="Heading2"/>
      </w:pPr>
      <w:r>
        <w:t>5.3 Continuity</w:t>
      </w:r>
    </w:p>
    <w:p>
      <w:pPr>
        <w:pStyle w:val="ListBullet"/>
        <w:spacing w:after="60"/>
      </w:pPr>
      <w:r>
        <w:rPr>
          <w:sz w:val="22"/>
        </w:rPr>
        <w:t>Group message thread for each table, available before, during and after the dinner.</w:t>
      </w:r>
    </w:p>
    <w:p>
      <w:pPr>
        <w:pStyle w:val="ListBullet"/>
        <w:spacing w:after="60"/>
      </w:pPr>
      <w:r>
        <w:rPr>
          <w:sz w:val="22"/>
        </w:rPr>
        <w:t>Optional after-party coordination and photo sharing.</w:t>
      </w:r>
    </w:p>
    <w:p>
      <w:pPr>
        <w:pStyle w:val="ListBullet"/>
        <w:spacing w:after="60"/>
      </w:pPr>
      <w:r>
        <w:rPr>
          <w:sz w:val="22"/>
        </w:rPr>
        <w:t>Post-dinner rating and the option to keep selected connections.</w:t>
      </w:r>
    </w:p>
    <w:p>
      <w:pPr>
        <w:pStyle w:val="ListBullet"/>
        <w:spacing w:after="60"/>
      </w:pPr>
      <w:r>
        <w:rPr>
          <w:sz w:val="22"/>
        </w:rPr>
        <w:t>Persistent connections and self-organising groups.</w:t>
      </w:r>
    </w:p>
    <w:p>
      <w:pPr>
        <w:pStyle w:val="Heading2"/>
      </w:pPr>
      <w:r>
        <w:t>5.4 Membership and Profile</w:t>
      </w:r>
    </w:p>
    <w:p>
      <w:pPr>
        <w:pStyle w:val="ListBullet"/>
        <w:spacing w:after="60"/>
      </w:pPr>
      <w:r>
        <w:rPr>
          <w:sz w:val="22"/>
        </w:rPr>
        <w:t>Membership management with transparent renewal and one-tap cancellation.</w:t>
      </w:r>
    </w:p>
    <w:p>
      <w:pPr>
        <w:pStyle w:val="ListBullet"/>
        <w:spacing w:after="60"/>
      </w:pPr>
      <w:r>
        <w:rPr>
          <w:sz w:val="22"/>
        </w:rPr>
        <w:t>Member profile, dining preferences and attendance record.</w:t>
      </w:r>
    </w:p>
    <w:p>
      <w:pPr>
        <w:pStyle w:val="ListBullet"/>
        <w:spacing w:after="60"/>
      </w:pPr>
      <w:r>
        <w:rPr>
          <w:sz w:val="22"/>
        </w:rPr>
        <w:t>Invitation flow for the Black tier (concierge handled off-application at launch).</w:t>
      </w:r>
    </w:p>
    <w:p>
      <w:pPr>
        <w:pStyle w:val="Heading2"/>
      </w:pPr>
      <w:r>
        <w:t>5.5 Operations</w:t>
      </w:r>
    </w:p>
    <w:p>
      <w:pPr>
        <w:spacing w:after="120"/>
      </w:pPr>
      <w:r>
        <w:rPr>
          <w:b w:val="0"/>
          <w:i w:val="0"/>
          <w:color w:val="000000"/>
          <w:sz w:val="22"/>
        </w:rPr>
        <w:t>For the launch version, table matching is a rule-based scoring engine that proposes tables for the operator to approve. A lightweight administration layer is included so that the first groups can be run by hand: managing venues, opening groups, forming tables and monitoring deposits. A fully featured operations back-office is listed as a fast-follow in Section 10.</w:t>
      </w:r>
    </w:p>
    <w:p>
      <w:pPr>
        <w:pStyle w:val="Heading1"/>
      </w:pPr>
      <w:r>
        <w:t>6. Technical Approach</w:t>
      </w:r>
    </w:p>
    <w:p>
      <w:pPr>
        <w:spacing w:after="120"/>
      </w:pPr>
      <w:r>
        <w:rPr>
          <w:b w:val="0"/>
          <w:i w:val="0"/>
          <w:color w:val="000000"/>
          <w:sz w:val="22"/>
        </w:rPr>
        <w:t>The technology has been selected for reliable delivery by a single developer, using managed services to minimise infrastructure work.</w:t>
      </w:r>
    </w:p>
    <w:tbl>
      <w:tblPr>
        <w:tblStyle w:val="TableGrid"/>
        <w:tblW w:type="auto" w:w="0"/>
        <w:jc w:val="left"/>
        <w:tblLook w:firstColumn="1" w:firstRow="1" w:lastColumn="0" w:lastRow="0" w:noHBand="0" w:noVBand="1" w:val="04A0"/>
      </w:tblPr>
      <w:tblGrid>
        <w:gridCol w:w="2880"/>
        <w:gridCol w:w="2880"/>
        <w:gridCol w:w="2880"/>
      </w:tblGrid>
      <w:tr>
        <w:tc>
          <w:tcPr>
            <w:tcW w:type="dxa" w:w="2592"/>
            <w:shd w:val="clear" w:color="auto" w:fill="D9D9D9"/>
          </w:tcPr>
          <w:p>
            <w:pPr>
              <w:spacing w:after="40" w:before="40"/>
            </w:pPr>
            <w:r/>
            <w:r>
              <w:rPr>
                <w:rFonts w:ascii="Calibri" w:hAnsi="Calibri"/>
                <w:b/>
                <w:color w:val="000000"/>
                <w:sz w:val="21"/>
              </w:rPr>
              <w:t>Layer</w:t>
            </w:r>
          </w:p>
        </w:tc>
        <w:tc>
          <w:tcPr>
            <w:tcW w:type="dxa" w:w="3312"/>
            <w:shd w:val="clear" w:color="auto" w:fill="D9D9D9"/>
          </w:tcPr>
          <w:p>
            <w:pPr>
              <w:spacing w:after="40" w:before="40"/>
            </w:pPr>
            <w:r/>
            <w:r>
              <w:rPr>
                <w:rFonts w:ascii="Calibri" w:hAnsi="Calibri"/>
                <w:b/>
                <w:color w:val="000000"/>
                <w:sz w:val="21"/>
              </w:rPr>
              <w:t>Selected technology</w:t>
            </w:r>
          </w:p>
        </w:tc>
        <w:tc>
          <w:tcPr>
            <w:tcW w:type="dxa" w:w="3456"/>
            <w:shd w:val="clear" w:color="auto" w:fill="D9D9D9"/>
          </w:tcPr>
          <w:p>
            <w:pPr>
              <w:spacing w:after="40" w:before="40"/>
            </w:pPr>
            <w:r/>
            <w:r>
              <w:rPr>
                <w:rFonts w:ascii="Calibri" w:hAnsi="Calibri"/>
                <w:b/>
                <w:color w:val="000000"/>
                <w:sz w:val="21"/>
              </w:rPr>
              <w:t>Purpose</w:t>
            </w:r>
          </w:p>
        </w:tc>
      </w:tr>
      <w:tr>
        <w:tc>
          <w:tcPr>
            <w:tcW w:type="dxa" w:w="2592"/>
          </w:tcPr>
          <w:p>
            <w:pPr>
              <w:spacing w:after="40" w:before="40"/>
            </w:pPr>
            <w:r/>
            <w:r>
              <w:rPr>
                <w:rFonts w:ascii="Calibri" w:hAnsi="Calibri"/>
                <w:b w:val="0"/>
                <w:color w:val="000000"/>
                <w:sz w:val="21"/>
              </w:rPr>
              <w:t>Mobile application</w:t>
            </w:r>
          </w:p>
        </w:tc>
        <w:tc>
          <w:tcPr>
            <w:tcW w:type="dxa" w:w="3312"/>
          </w:tcPr>
          <w:p>
            <w:pPr>
              <w:spacing w:after="40" w:before="40"/>
            </w:pPr>
            <w:r/>
            <w:r>
              <w:rPr>
                <w:rFonts w:ascii="Calibri" w:hAnsi="Calibri"/>
                <w:b w:val="0"/>
                <w:color w:val="000000"/>
                <w:sz w:val="21"/>
              </w:rPr>
              <w:t>React Native with Expo (iOS first)</w:t>
            </w:r>
          </w:p>
        </w:tc>
        <w:tc>
          <w:tcPr>
            <w:tcW w:type="dxa" w:w="3456"/>
          </w:tcPr>
          <w:p>
            <w:pPr>
              <w:spacing w:after="40" w:before="40"/>
            </w:pPr>
            <w:r/>
            <w:r>
              <w:rPr>
                <w:rFonts w:ascii="Calibri" w:hAnsi="Calibri"/>
                <w:b w:val="0"/>
                <w:color w:val="000000"/>
                <w:sz w:val="21"/>
              </w:rPr>
              <w:t>Single codebase; Android as a fast-follow</w:t>
            </w:r>
          </w:p>
        </w:tc>
      </w:tr>
      <w:tr>
        <w:tc>
          <w:tcPr>
            <w:tcW w:type="dxa" w:w="2592"/>
          </w:tcPr>
          <w:p>
            <w:pPr>
              <w:spacing w:after="40" w:before="40"/>
            </w:pPr>
            <w:r/>
            <w:r>
              <w:rPr>
                <w:rFonts w:ascii="Calibri" w:hAnsi="Calibri"/>
                <w:b w:val="0"/>
                <w:color w:val="000000"/>
                <w:sz w:val="21"/>
              </w:rPr>
              <w:t>Backend and database</w:t>
            </w:r>
          </w:p>
        </w:tc>
        <w:tc>
          <w:tcPr>
            <w:tcW w:type="dxa" w:w="3312"/>
          </w:tcPr>
          <w:p>
            <w:pPr>
              <w:spacing w:after="40" w:before="40"/>
            </w:pPr>
            <w:r/>
            <w:r>
              <w:rPr>
                <w:rFonts w:ascii="Calibri" w:hAnsi="Calibri"/>
                <w:b w:val="0"/>
                <w:color w:val="000000"/>
                <w:sz w:val="21"/>
              </w:rPr>
              <w:t>Supabase</w:t>
            </w:r>
          </w:p>
        </w:tc>
        <w:tc>
          <w:tcPr>
            <w:tcW w:type="dxa" w:w="3456"/>
          </w:tcPr>
          <w:p>
            <w:pPr>
              <w:spacing w:after="40" w:before="40"/>
            </w:pPr>
            <w:r/>
            <w:r>
              <w:rPr>
                <w:rFonts w:ascii="Calibri" w:hAnsi="Calibri"/>
                <w:b w:val="0"/>
                <w:color w:val="000000"/>
                <w:sz w:val="21"/>
              </w:rPr>
              <w:t>Accounts, database, real-time data, file storage</w:t>
            </w:r>
          </w:p>
        </w:tc>
      </w:tr>
      <w:tr>
        <w:tc>
          <w:tcPr>
            <w:tcW w:type="dxa" w:w="2592"/>
          </w:tcPr>
          <w:p>
            <w:pPr>
              <w:spacing w:after="40" w:before="40"/>
            </w:pPr>
            <w:r/>
            <w:r>
              <w:rPr>
                <w:rFonts w:ascii="Calibri" w:hAnsi="Calibri"/>
                <w:b w:val="0"/>
                <w:color w:val="000000"/>
                <w:sz w:val="21"/>
              </w:rPr>
              <w:t>Payments</w:t>
            </w:r>
          </w:p>
        </w:tc>
        <w:tc>
          <w:tcPr>
            <w:tcW w:type="dxa" w:w="3312"/>
          </w:tcPr>
          <w:p>
            <w:pPr>
              <w:spacing w:after="40" w:before="40"/>
            </w:pPr>
            <w:r/>
            <w:r>
              <w:rPr>
                <w:rFonts w:ascii="Calibri" w:hAnsi="Calibri"/>
                <w:b w:val="0"/>
                <w:color w:val="000000"/>
                <w:sz w:val="21"/>
              </w:rPr>
              <w:t>Stripe</w:t>
            </w:r>
          </w:p>
        </w:tc>
        <w:tc>
          <w:tcPr>
            <w:tcW w:type="dxa" w:w="3456"/>
          </w:tcPr>
          <w:p>
            <w:pPr>
              <w:spacing w:after="40" w:before="40"/>
            </w:pPr>
            <w:r/>
            <w:r>
              <w:rPr>
                <w:rFonts w:ascii="Calibri" w:hAnsi="Calibri"/>
                <w:b w:val="0"/>
                <w:color w:val="000000"/>
                <w:sz w:val="21"/>
              </w:rPr>
              <w:t>Memberships, per-event payments and refundable deposits</w:t>
            </w:r>
          </w:p>
        </w:tc>
      </w:tr>
      <w:tr>
        <w:tc>
          <w:tcPr>
            <w:tcW w:type="dxa" w:w="2592"/>
          </w:tcPr>
          <w:p>
            <w:pPr>
              <w:spacing w:after="40" w:before="40"/>
            </w:pPr>
            <w:r/>
            <w:r>
              <w:rPr>
                <w:rFonts w:ascii="Calibri" w:hAnsi="Calibri"/>
                <w:b w:val="0"/>
                <w:color w:val="000000"/>
                <w:sz w:val="21"/>
              </w:rPr>
              <w:t>Messaging</w:t>
            </w:r>
          </w:p>
        </w:tc>
        <w:tc>
          <w:tcPr>
            <w:tcW w:type="dxa" w:w="3312"/>
          </w:tcPr>
          <w:p>
            <w:pPr>
              <w:spacing w:after="40" w:before="40"/>
            </w:pPr>
            <w:r/>
            <w:r>
              <w:rPr>
                <w:rFonts w:ascii="Calibri" w:hAnsi="Calibri"/>
                <w:b w:val="0"/>
                <w:color w:val="000000"/>
                <w:sz w:val="21"/>
              </w:rPr>
              <w:t>Supabase real-time</w:t>
            </w:r>
          </w:p>
        </w:tc>
        <w:tc>
          <w:tcPr>
            <w:tcW w:type="dxa" w:w="3456"/>
          </w:tcPr>
          <w:p>
            <w:pPr>
              <w:spacing w:after="40" w:before="40"/>
            </w:pPr>
            <w:r/>
            <w:r>
              <w:rPr>
                <w:rFonts w:ascii="Calibri" w:hAnsi="Calibri"/>
                <w:b w:val="0"/>
                <w:color w:val="000000"/>
                <w:sz w:val="21"/>
              </w:rPr>
              <w:t>Group message threads for each table</w:t>
            </w:r>
          </w:p>
        </w:tc>
      </w:tr>
      <w:tr>
        <w:tc>
          <w:tcPr>
            <w:tcW w:type="dxa" w:w="2592"/>
          </w:tcPr>
          <w:p>
            <w:pPr>
              <w:spacing w:after="40" w:before="40"/>
            </w:pPr>
            <w:r/>
            <w:r>
              <w:rPr>
                <w:rFonts w:ascii="Calibri" w:hAnsi="Calibri"/>
                <w:b w:val="0"/>
                <w:color w:val="000000"/>
                <w:sz w:val="21"/>
              </w:rPr>
              <w:t>Notifications</w:t>
            </w:r>
          </w:p>
        </w:tc>
        <w:tc>
          <w:tcPr>
            <w:tcW w:type="dxa" w:w="3312"/>
          </w:tcPr>
          <w:p>
            <w:pPr>
              <w:spacing w:after="40" w:before="40"/>
            </w:pPr>
            <w:r/>
            <w:r>
              <w:rPr>
                <w:rFonts w:ascii="Calibri" w:hAnsi="Calibri"/>
                <w:b w:val="0"/>
                <w:color w:val="000000"/>
                <w:sz w:val="21"/>
              </w:rPr>
              <w:t>Expo push notifications</w:t>
            </w:r>
          </w:p>
        </w:tc>
        <w:tc>
          <w:tcPr>
            <w:tcW w:type="dxa" w:w="3456"/>
          </w:tcPr>
          <w:p>
            <w:pPr>
              <w:spacing w:after="40" w:before="40"/>
            </w:pPr>
            <w:r/>
            <w:r>
              <w:rPr>
                <w:rFonts w:ascii="Calibri" w:hAnsi="Calibri"/>
                <w:b w:val="0"/>
                <w:color w:val="000000"/>
                <w:sz w:val="21"/>
              </w:rPr>
              <w:t>Invitations, reminders and message alerts</w:t>
            </w:r>
          </w:p>
        </w:tc>
      </w:tr>
      <w:tr>
        <w:tc>
          <w:tcPr>
            <w:tcW w:type="dxa" w:w="2592"/>
          </w:tcPr>
          <w:p>
            <w:pPr>
              <w:spacing w:after="40" w:before="40"/>
            </w:pPr>
            <w:r/>
            <w:r>
              <w:rPr>
                <w:rFonts w:ascii="Calibri" w:hAnsi="Calibri"/>
                <w:b w:val="0"/>
                <w:color w:val="000000"/>
                <w:sz w:val="21"/>
              </w:rPr>
              <w:t>Maps and location</w:t>
            </w:r>
          </w:p>
        </w:tc>
        <w:tc>
          <w:tcPr>
            <w:tcW w:type="dxa" w:w="3312"/>
          </w:tcPr>
          <w:p>
            <w:pPr>
              <w:spacing w:after="40" w:before="40"/>
            </w:pPr>
            <w:r/>
            <w:r>
              <w:rPr>
                <w:rFonts w:ascii="Calibri" w:hAnsi="Calibri"/>
                <w:b w:val="0"/>
                <w:color w:val="000000"/>
                <w:sz w:val="21"/>
              </w:rPr>
              <w:t>Mapbox or Google Places</w:t>
            </w:r>
          </w:p>
        </w:tc>
        <w:tc>
          <w:tcPr>
            <w:tcW w:type="dxa" w:w="3456"/>
          </w:tcPr>
          <w:p>
            <w:pPr>
              <w:spacing w:after="40" w:before="40"/>
            </w:pPr>
            <w:r/>
            <w:r>
              <w:rPr>
                <w:rFonts w:ascii="Calibri" w:hAnsi="Calibri"/>
                <w:b w:val="0"/>
                <w:color w:val="000000"/>
                <w:sz w:val="21"/>
              </w:rPr>
              <w:t>Venue distance and neighbourhood logic</w:t>
            </w:r>
          </w:p>
        </w:tc>
      </w:tr>
      <w:tr>
        <w:tc>
          <w:tcPr>
            <w:tcW w:type="dxa" w:w="2592"/>
          </w:tcPr>
          <w:p>
            <w:pPr>
              <w:spacing w:after="40" w:before="40"/>
            </w:pPr>
            <w:r/>
            <w:r>
              <w:rPr>
                <w:rFonts w:ascii="Calibri" w:hAnsi="Calibri"/>
                <w:b w:val="0"/>
                <w:color w:val="000000"/>
                <w:sz w:val="21"/>
              </w:rPr>
              <w:t>Monitoring</w:t>
            </w:r>
          </w:p>
        </w:tc>
        <w:tc>
          <w:tcPr>
            <w:tcW w:type="dxa" w:w="3312"/>
          </w:tcPr>
          <w:p>
            <w:pPr>
              <w:spacing w:after="40" w:before="40"/>
            </w:pPr>
            <w:r/>
            <w:r>
              <w:rPr>
                <w:rFonts w:ascii="Calibri" w:hAnsi="Calibri"/>
                <w:b w:val="0"/>
                <w:color w:val="000000"/>
                <w:sz w:val="21"/>
              </w:rPr>
              <w:t>Sentry and PostHog</w:t>
            </w:r>
          </w:p>
        </w:tc>
        <w:tc>
          <w:tcPr>
            <w:tcW w:type="dxa" w:w="3456"/>
          </w:tcPr>
          <w:p>
            <w:pPr>
              <w:spacing w:after="40" w:before="40"/>
            </w:pPr>
            <w:r/>
            <w:r>
              <w:rPr>
                <w:rFonts w:ascii="Calibri" w:hAnsi="Calibri"/>
                <w:b w:val="0"/>
                <w:color w:val="000000"/>
                <w:sz w:val="21"/>
              </w:rPr>
              <w:t>Error tracking and usage analytics</w:t>
            </w:r>
          </w:p>
        </w:tc>
      </w:tr>
    </w:tbl>
    <w:p/>
    <w:p>
      <w:pPr>
        <w:pStyle w:val="Heading1"/>
      </w:pPr>
      <w:r>
        <w:t>7. Delivery Schedule</w:t>
      </w:r>
    </w:p>
    <w:p>
      <w:pPr>
        <w:spacing w:after="120"/>
      </w:pPr>
      <w:r>
        <w:rPr>
          <w:b w:val="0"/>
          <w:i w:val="0"/>
          <w:color w:val="000000"/>
          <w:sz w:val="22"/>
        </w:rPr>
        <w:t>The build runs for approximately five and a half weeks, followed by approximately two and a half weeks of refinement, testing and launch. Scope is fixed at the start of the engagement. A testable build is provided at the end of each week.</w:t>
      </w:r>
    </w:p>
    <w:tbl>
      <w:tblPr>
        <w:tblStyle w:val="TableGrid"/>
        <w:tblW w:type="auto" w:w="0"/>
        <w:jc w:val="left"/>
        <w:tblLook w:firstColumn="1" w:firstRow="1" w:lastColumn="0" w:lastRow="0" w:noHBand="0" w:noVBand="1" w:val="04A0"/>
      </w:tblPr>
      <w:tblGrid>
        <w:gridCol w:w="2880"/>
        <w:gridCol w:w="2880"/>
        <w:gridCol w:w="2880"/>
      </w:tblGrid>
      <w:tr>
        <w:tc>
          <w:tcPr>
            <w:tcW w:type="dxa" w:w="864"/>
            <w:shd w:val="clear" w:color="auto" w:fill="D9D9D9"/>
          </w:tcPr>
          <w:p>
            <w:pPr>
              <w:spacing w:after="40" w:before="40"/>
            </w:pPr>
            <w:r/>
            <w:r>
              <w:rPr>
                <w:rFonts w:ascii="Calibri" w:hAnsi="Calibri"/>
                <w:b/>
                <w:color w:val="000000"/>
                <w:sz w:val="21"/>
              </w:rPr>
              <w:t>Week</w:t>
            </w:r>
          </w:p>
        </w:tc>
        <w:tc>
          <w:tcPr>
            <w:tcW w:type="dxa" w:w="3168"/>
            <w:shd w:val="clear" w:color="auto" w:fill="D9D9D9"/>
          </w:tcPr>
          <w:p>
            <w:pPr>
              <w:spacing w:after="40" w:before="40"/>
            </w:pPr>
            <w:r/>
            <w:r>
              <w:rPr>
                <w:rFonts w:ascii="Calibri" w:hAnsi="Calibri"/>
                <w:b/>
                <w:color w:val="000000"/>
                <w:sz w:val="21"/>
              </w:rPr>
              <w:t>Focus</w:t>
            </w:r>
          </w:p>
        </w:tc>
        <w:tc>
          <w:tcPr>
            <w:tcW w:type="dxa" w:w="5328"/>
            <w:shd w:val="clear" w:color="auto" w:fill="D9D9D9"/>
          </w:tcPr>
          <w:p>
            <w:pPr>
              <w:spacing w:after="40" w:before="40"/>
            </w:pPr>
            <w:r/>
            <w:r>
              <w:rPr>
                <w:rFonts w:ascii="Calibri" w:hAnsi="Calibri"/>
                <w:b/>
                <w:color w:val="000000"/>
                <w:sz w:val="21"/>
              </w:rPr>
              <w:t>Outcome</w:t>
            </w:r>
          </w:p>
        </w:tc>
      </w:tr>
      <w:tr>
        <w:tc>
          <w:tcPr>
            <w:tcW w:type="dxa" w:w="864"/>
          </w:tcPr>
          <w:p>
            <w:pPr>
              <w:spacing w:after="40" w:before="40"/>
            </w:pPr>
            <w:r/>
            <w:r>
              <w:rPr>
                <w:rFonts w:ascii="Calibri" w:hAnsi="Calibri"/>
                <w:b w:val="0"/>
                <w:color w:val="000000"/>
                <w:sz w:val="21"/>
              </w:rPr>
              <w:t>1</w:t>
            </w:r>
          </w:p>
        </w:tc>
        <w:tc>
          <w:tcPr>
            <w:tcW w:type="dxa" w:w="3168"/>
          </w:tcPr>
          <w:p>
            <w:pPr>
              <w:spacing w:after="40" w:before="40"/>
            </w:pPr>
            <w:r/>
            <w:r>
              <w:rPr>
                <w:rFonts w:ascii="Calibri" w:hAnsi="Calibri"/>
                <w:b w:val="0"/>
                <w:color w:val="000000"/>
                <w:sz w:val="21"/>
              </w:rPr>
              <w:t>Foundations and design system</w:t>
            </w:r>
          </w:p>
        </w:tc>
        <w:tc>
          <w:tcPr>
            <w:tcW w:type="dxa" w:w="5328"/>
          </w:tcPr>
          <w:p>
            <w:pPr>
              <w:spacing w:after="40" w:before="40"/>
            </w:pPr>
            <w:r/>
            <w:r>
              <w:rPr>
                <w:rFonts w:ascii="Calibri" w:hAnsi="Calibri"/>
                <w:b w:val="0"/>
                <w:color w:val="000000"/>
                <w:sz w:val="21"/>
              </w:rPr>
              <w:t>Project setup, data model, reusable interface components, navigation</w:t>
            </w:r>
          </w:p>
        </w:tc>
      </w:tr>
      <w:tr>
        <w:tc>
          <w:tcPr>
            <w:tcW w:type="dxa" w:w="864"/>
          </w:tcPr>
          <w:p>
            <w:pPr>
              <w:spacing w:after="40" w:before="40"/>
            </w:pPr>
            <w:r/>
            <w:r>
              <w:rPr>
                <w:rFonts w:ascii="Calibri" w:hAnsi="Calibri"/>
                <w:b w:val="0"/>
                <w:color w:val="000000"/>
                <w:sz w:val="21"/>
              </w:rPr>
              <w:t>2</w:t>
            </w:r>
          </w:p>
        </w:tc>
        <w:tc>
          <w:tcPr>
            <w:tcW w:type="dxa" w:w="3168"/>
          </w:tcPr>
          <w:p>
            <w:pPr>
              <w:spacing w:after="40" w:before="40"/>
            </w:pPr>
            <w:r/>
            <w:r>
              <w:rPr>
                <w:rFonts w:ascii="Calibri" w:hAnsi="Calibri"/>
                <w:b w:val="0"/>
                <w:color w:val="000000"/>
                <w:sz w:val="21"/>
              </w:rPr>
              <w:t>Onboarding and waitlist</w:t>
            </w:r>
          </w:p>
        </w:tc>
        <w:tc>
          <w:tcPr>
            <w:tcW w:type="dxa" w:w="5328"/>
          </w:tcPr>
          <w:p>
            <w:pPr>
              <w:spacing w:after="40" w:before="40"/>
            </w:pPr>
            <w:r/>
            <w:r>
              <w:rPr>
                <w:rFonts w:ascii="Calibri" w:hAnsi="Calibri"/>
                <w:b w:val="0"/>
                <w:color w:val="000000"/>
                <w:sz w:val="21"/>
              </w:rPr>
              <w:t>Welcome, invitation codes, city capture, compatibility questionnaire</w:t>
            </w:r>
          </w:p>
        </w:tc>
      </w:tr>
      <w:tr>
        <w:tc>
          <w:tcPr>
            <w:tcW w:type="dxa" w:w="864"/>
          </w:tcPr>
          <w:p>
            <w:pPr>
              <w:spacing w:after="40" w:before="40"/>
            </w:pPr>
            <w:r/>
            <w:r>
              <w:rPr>
                <w:rFonts w:ascii="Calibri" w:hAnsi="Calibri"/>
                <w:b w:val="0"/>
                <w:color w:val="000000"/>
                <w:sz w:val="21"/>
              </w:rPr>
              <w:t>3</w:t>
            </w:r>
          </w:p>
        </w:tc>
        <w:tc>
          <w:tcPr>
            <w:tcW w:type="dxa" w:w="3168"/>
          </w:tcPr>
          <w:p>
            <w:pPr>
              <w:spacing w:after="40" w:before="40"/>
            </w:pPr>
            <w:r/>
            <w:r>
              <w:rPr>
                <w:rFonts w:ascii="Calibri" w:hAnsi="Calibri"/>
                <w:b w:val="0"/>
                <w:color w:val="000000"/>
                <w:sz w:val="21"/>
              </w:rPr>
              <w:t>Membership and payments</w:t>
            </w:r>
          </w:p>
        </w:tc>
        <w:tc>
          <w:tcPr>
            <w:tcW w:type="dxa" w:w="5328"/>
          </w:tcPr>
          <w:p>
            <w:pPr>
              <w:spacing w:after="40" w:before="40"/>
            </w:pPr>
            <w:r/>
            <w:r>
              <w:rPr>
                <w:rFonts w:ascii="Calibri" w:hAnsi="Calibri"/>
                <w:b w:val="0"/>
                <w:color w:val="000000"/>
                <w:sz w:val="21"/>
              </w:rPr>
              <w:t>Stripe tiers, subscriptions, per-event payments and the refundable deposit</w:t>
            </w:r>
          </w:p>
        </w:tc>
      </w:tr>
      <w:tr>
        <w:tc>
          <w:tcPr>
            <w:tcW w:type="dxa" w:w="864"/>
          </w:tcPr>
          <w:p>
            <w:pPr>
              <w:spacing w:after="40" w:before="40"/>
            </w:pPr>
            <w:r/>
            <w:r>
              <w:rPr>
                <w:rFonts w:ascii="Calibri" w:hAnsi="Calibri"/>
                <w:b w:val="0"/>
                <w:color w:val="000000"/>
                <w:sz w:val="21"/>
              </w:rPr>
              <w:t>4</w:t>
            </w:r>
          </w:p>
        </w:tc>
        <w:tc>
          <w:tcPr>
            <w:tcW w:type="dxa" w:w="3168"/>
          </w:tcPr>
          <w:p>
            <w:pPr>
              <w:spacing w:after="40" w:before="40"/>
            </w:pPr>
            <w:r/>
            <w:r>
              <w:rPr>
                <w:rFonts w:ascii="Calibri" w:hAnsi="Calibri"/>
                <w:b w:val="0"/>
                <w:color w:val="000000"/>
                <w:sz w:val="21"/>
              </w:rPr>
              <w:t>The weekly loop</w:t>
            </w:r>
          </w:p>
        </w:tc>
        <w:tc>
          <w:tcPr>
            <w:tcW w:type="dxa" w:w="5328"/>
          </w:tcPr>
          <w:p>
            <w:pPr>
              <w:spacing w:after="40" w:before="40"/>
            </w:pPr>
            <w:r/>
            <w:r>
              <w:rPr>
                <w:rFonts w:ascii="Calibri" w:hAnsi="Calibri"/>
                <w:b w:val="0"/>
                <w:color w:val="000000"/>
                <w:sz w:val="21"/>
              </w:rPr>
              <w:t>Home, invitation, venue detail, seat confirmation, table view</w:t>
            </w:r>
          </w:p>
        </w:tc>
      </w:tr>
      <w:tr>
        <w:tc>
          <w:tcPr>
            <w:tcW w:type="dxa" w:w="864"/>
          </w:tcPr>
          <w:p>
            <w:pPr>
              <w:spacing w:after="40" w:before="40"/>
            </w:pPr>
            <w:r/>
            <w:r>
              <w:rPr>
                <w:rFonts w:ascii="Calibri" w:hAnsi="Calibri"/>
                <w:b w:val="0"/>
                <w:color w:val="000000"/>
                <w:sz w:val="21"/>
              </w:rPr>
              <w:t>5</w:t>
            </w:r>
          </w:p>
        </w:tc>
        <w:tc>
          <w:tcPr>
            <w:tcW w:type="dxa" w:w="3168"/>
          </w:tcPr>
          <w:p>
            <w:pPr>
              <w:spacing w:after="40" w:before="40"/>
            </w:pPr>
            <w:r/>
            <w:r>
              <w:rPr>
                <w:rFonts w:ascii="Calibri" w:hAnsi="Calibri"/>
                <w:b w:val="0"/>
                <w:color w:val="000000"/>
                <w:sz w:val="21"/>
              </w:rPr>
              <w:t>Continuity and completion</w:t>
            </w:r>
          </w:p>
        </w:tc>
        <w:tc>
          <w:tcPr>
            <w:tcW w:type="dxa" w:w="5328"/>
          </w:tcPr>
          <w:p>
            <w:pPr>
              <w:spacing w:after="40" w:before="40"/>
            </w:pPr>
            <w:r/>
            <w:r>
              <w:rPr>
                <w:rFonts w:ascii="Calibri" w:hAnsi="Calibri"/>
                <w:b w:val="0"/>
                <w:color w:val="000000"/>
                <w:sz w:val="21"/>
              </w:rPr>
              <w:t>Group messaging, notifications, ratings, connections, matching, admin layer</w:t>
            </w:r>
          </w:p>
        </w:tc>
      </w:tr>
      <w:tr>
        <w:tc>
          <w:tcPr>
            <w:tcW w:type="dxa" w:w="864"/>
          </w:tcPr>
          <w:p>
            <w:pPr>
              <w:spacing w:after="40" w:before="40"/>
            </w:pPr>
            <w:r/>
            <w:r>
              <w:rPr>
                <w:rFonts w:ascii="Calibri" w:hAnsi="Calibri"/>
                <w:b w:val="0"/>
                <w:color w:val="000000"/>
                <w:sz w:val="21"/>
              </w:rPr>
              <w:t>6</w:t>
            </w:r>
          </w:p>
        </w:tc>
        <w:tc>
          <w:tcPr>
            <w:tcW w:type="dxa" w:w="3168"/>
          </w:tcPr>
          <w:p>
            <w:pPr>
              <w:spacing w:after="40" w:before="40"/>
            </w:pPr>
            <w:r/>
            <w:r>
              <w:rPr>
                <w:rFonts w:ascii="Calibri" w:hAnsi="Calibri"/>
                <w:b w:val="0"/>
                <w:color w:val="000000"/>
                <w:sz w:val="21"/>
              </w:rPr>
              <w:t>Refinement (round 1)</w:t>
            </w:r>
          </w:p>
        </w:tc>
        <w:tc>
          <w:tcPr>
            <w:tcW w:type="dxa" w:w="5328"/>
          </w:tcPr>
          <w:p>
            <w:pPr>
              <w:spacing w:after="40" w:before="40"/>
            </w:pPr>
            <w:r/>
            <w:r>
              <w:rPr>
                <w:rFonts w:ascii="Calibri" w:hAnsi="Calibri"/>
                <w:b w:val="0"/>
                <w:color w:val="000000"/>
                <w:sz w:val="21"/>
              </w:rPr>
              <w:t>Visual polish, motion and theming; first review on device</w:t>
            </w:r>
          </w:p>
        </w:tc>
      </w:tr>
      <w:tr>
        <w:tc>
          <w:tcPr>
            <w:tcW w:type="dxa" w:w="864"/>
          </w:tcPr>
          <w:p>
            <w:pPr>
              <w:spacing w:after="40" w:before="40"/>
            </w:pPr>
            <w:r/>
            <w:r>
              <w:rPr>
                <w:rFonts w:ascii="Calibri" w:hAnsi="Calibri"/>
                <w:b w:val="0"/>
                <w:color w:val="000000"/>
                <w:sz w:val="21"/>
              </w:rPr>
              <w:t>7</w:t>
            </w:r>
          </w:p>
        </w:tc>
        <w:tc>
          <w:tcPr>
            <w:tcW w:type="dxa" w:w="3168"/>
          </w:tcPr>
          <w:p>
            <w:pPr>
              <w:spacing w:after="40" w:before="40"/>
            </w:pPr>
            <w:r/>
            <w:r>
              <w:rPr>
                <w:rFonts w:ascii="Calibri" w:hAnsi="Calibri"/>
                <w:b w:val="0"/>
                <w:color w:val="000000"/>
                <w:sz w:val="21"/>
              </w:rPr>
              <w:t>Refinement (round 2)</w:t>
            </w:r>
          </w:p>
        </w:tc>
        <w:tc>
          <w:tcPr>
            <w:tcW w:type="dxa" w:w="5328"/>
          </w:tcPr>
          <w:p>
            <w:pPr>
              <w:spacing w:after="40" w:before="40"/>
            </w:pPr>
            <w:r/>
            <w:r>
              <w:rPr>
                <w:rFonts w:ascii="Calibri" w:hAnsi="Calibri"/>
                <w:b w:val="0"/>
                <w:color w:val="000000"/>
                <w:sz w:val="21"/>
              </w:rPr>
              <w:t>Device testing, payment and deposit edge cases, bug fixing; second review</w:t>
            </w:r>
          </w:p>
        </w:tc>
      </w:tr>
      <w:tr>
        <w:tc>
          <w:tcPr>
            <w:tcW w:type="dxa" w:w="864"/>
          </w:tcPr>
          <w:p>
            <w:pPr>
              <w:spacing w:after="40" w:before="40"/>
            </w:pPr>
            <w:r/>
            <w:r>
              <w:rPr>
                <w:rFonts w:ascii="Calibri" w:hAnsi="Calibri"/>
                <w:b w:val="0"/>
                <w:color w:val="000000"/>
                <w:sz w:val="21"/>
              </w:rPr>
              <w:t>8</w:t>
            </w:r>
          </w:p>
        </w:tc>
        <w:tc>
          <w:tcPr>
            <w:tcW w:type="dxa" w:w="3168"/>
          </w:tcPr>
          <w:p>
            <w:pPr>
              <w:spacing w:after="40" w:before="40"/>
            </w:pPr>
            <w:r/>
            <w:r>
              <w:rPr>
                <w:rFonts w:ascii="Calibri" w:hAnsi="Calibri"/>
                <w:b w:val="0"/>
                <w:color w:val="000000"/>
                <w:sz w:val="21"/>
              </w:rPr>
              <w:t>Launch</w:t>
            </w:r>
          </w:p>
        </w:tc>
        <w:tc>
          <w:tcPr>
            <w:tcW w:type="dxa" w:w="5328"/>
          </w:tcPr>
          <w:p>
            <w:pPr>
              <w:spacing w:after="40" w:before="40"/>
            </w:pPr>
            <w:r/>
            <w:r>
              <w:rPr>
                <w:rFonts w:ascii="Calibri" w:hAnsi="Calibri"/>
                <w:b w:val="0"/>
                <w:color w:val="000000"/>
                <w:sz w:val="21"/>
              </w:rPr>
              <w:t>App store listing, submission, review response and go-live</w:t>
            </w:r>
          </w:p>
        </w:tc>
      </w:tr>
    </w:tbl>
    <w:p/>
    <w:p>
      <w:pPr>
        <w:pStyle w:val="Heading1"/>
      </w:pPr>
      <w:r>
        <w:t>8. Engagement Structure and Trial Period</w:t>
      </w:r>
    </w:p>
    <w:p>
      <w:pPr>
        <w:spacing w:after="120"/>
      </w:pPr>
      <w:r>
        <w:rPr>
          <w:b w:val="0"/>
          <w:i w:val="0"/>
          <w:color w:val="000000"/>
          <w:sz w:val="22"/>
        </w:rPr>
        <w:t>The engagement begins with a two-week trial period, after which both parties review progress before committing to the remainder of the work.</w:t>
      </w:r>
    </w:p>
    <w:p>
      <w:pPr>
        <w:spacing w:after="40"/>
      </w:pPr>
      <w:r>
        <w:rPr>
          <w:b/>
          <w:i w:val="0"/>
          <w:color w:val="000000"/>
          <w:sz w:val="22"/>
        </w:rPr>
        <w:t>Trial period (Weeks 1 and 2).</w:t>
      </w:r>
    </w:p>
    <w:p>
      <w:pPr>
        <w:pStyle w:val="ListBullet"/>
        <w:spacing w:after="60"/>
      </w:pPr>
      <w:r>
        <w:rPr>
          <w:sz w:val="22"/>
        </w:rPr>
        <w:t>Runs at the standard weekly rate and covers the foundations, the design system in code, and the onboarding and waitlist experience (see the Delivery Schedule in Section 7).</w:t>
      </w:r>
    </w:p>
    <w:p>
      <w:pPr>
        <w:pStyle w:val="ListBullet"/>
        <w:spacing w:after="60"/>
      </w:pPr>
      <w:r>
        <w:rPr>
          <w:sz w:val="22"/>
        </w:rPr>
        <w:t>The purpose is to demonstrate working software, delivery speed and the working relationship.</w:t>
      </w:r>
    </w:p>
    <w:p>
      <w:pPr>
        <w:pStyle w:val="ListBullet"/>
        <w:spacing w:after="60"/>
      </w:pPr>
      <w:r>
        <w:rPr>
          <w:sz w:val="22"/>
        </w:rPr>
        <w:t>A testable build is provided at the end of each week.</w:t>
      </w:r>
    </w:p>
    <w:p>
      <w:pPr>
        <w:spacing w:after="40"/>
      </w:pPr>
      <w:r>
        <w:rPr>
          <w:b/>
          <w:i w:val="0"/>
          <w:color w:val="000000"/>
          <w:sz w:val="22"/>
        </w:rPr>
        <w:t>Review and go/no-go decision (end of Week 2).</w:t>
      </w:r>
    </w:p>
    <w:p>
      <w:pPr>
        <w:spacing w:after="40"/>
      </w:pPr>
      <w:r>
        <w:rPr>
          <w:b w:val="0"/>
          <w:i w:val="0"/>
          <w:color w:val="000000"/>
          <w:sz w:val="22"/>
        </w:rPr>
        <w:t>At the end of the trial, both parties assess:</w:t>
      </w:r>
    </w:p>
    <w:p>
      <w:pPr>
        <w:pStyle w:val="ListBullet"/>
        <w:spacing w:after="60"/>
      </w:pPr>
      <w:r>
        <w:rPr>
          <w:sz w:val="22"/>
        </w:rPr>
        <w:t>delivery speed and output measured against the schedule;</w:t>
      </w:r>
    </w:p>
    <w:p>
      <w:pPr>
        <w:pStyle w:val="ListBullet"/>
        <w:spacing w:after="60"/>
      </w:pPr>
      <w:r>
        <w:rPr>
          <w:sz w:val="22"/>
        </w:rPr>
        <w:t>the quality of the deliverables produced;</w:t>
      </w:r>
    </w:p>
    <w:p>
      <w:pPr>
        <w:pStyle w:val="ListBullet"/>
        <w:spacing w:after="60"/>
      </w:pPr>
      <w:r>
        <w:rPr>
          <w:sz w:val="22"/>
        </w:rPr>
        <w:t>the working relationship and communication.</w:t>
      </w:r>
    </w:p>
    <w:p>
      <w:pPr>
        <w:spacing w:after="120"/>
      </w:pPr>
      <w:r>
        <w:rPr>
          <w:b w:val="0"/>
          <w:i w:val="0"/>
          <w:color w:val="000000"/>
          <w:sz w:val="22"/>
        </w:rPr>
        <w:t>If both parties are satisfied, the engagement continues into Weeks 3 to 8 to complete the build under the same terms. If either party decides not to continue, the engagement ends at the trial and only the two weeks worked are payable. This structure limits the client's initial commitment to two weeks and provides a clear, evidence-based decision point before the full budget is committed.</w:t>
      </w:r>
    </w:p>
    <w:p>
      <w:pPr>
        <w:spacing w:after="40"/>
      </w:pPr>
      <w:r>
        <w:rPr>
          <w:b/>
          <w:i w:val="0"/>
          <w:color w:val="000000"/>
          <w:sz w:val="22"/>
        </w:rPr>
        <w:t>Trial success criteria.</w:t>
      </w:r>
    </w:p>
    <w:p>
      <w:pPr>
        <w:spacing w:after="80"/>
      </w:pPr>
      <w:r>
        <w:rPr>
          <w:b w:val="0"/>
          <w:i w:val="0"/>
          <w:color w:val="000000"/>
          <w:sz w:val="22"/>
        </w:rPr>
        <w:t>Success at the Week 2 review means the following are demonstrably working on a real device. These criteria are indicative and will be confirmed together at kickoff.</w:t>
      </w:r>
    </w:p>
    <w:tbl>
      <w:tblPr>
        <w:tblStyle w:val="TableGrid"/>
        <w:tblW w:type="auto" w:w="0"/>
        <w:jc w:val="left"/>
        <w:tblLook w:firstColumn="1" w:firstRow="1" w:lastColumn="0" w:lastRow="0" w:noHBand="0" w:noVBand="1" w:val="04A0"/>
      </w:tblPr>
      <w:tblGrid>
        <w:gridCol w:w="4320"/>
        <w:gridCol w:w="4320"/>
      </w:tblGrid>
      <w:tr>
        <w:tc>
          <w:tcPr>
            <w:tcW w:type="dxa" w:w="3168"/>
            <w:shd w:val="clear" w:color="auto" w:fill="D9D9D9"/>
          </w:tcPr>
          <w:p>
            <w:pPr>
              <w:spacing w:after="40" w:before="40"/>
            </w:pPr>
            <w:r/>
            <w:r>
              <w:rPr>
                <w:rFonts w:ascii="Calibri" w:hAnsi="Calibri"/>
                <w:b/>
                <w:color w:val="000000"/>
                <w:sz w:val="21"/>
              </w:rPr>
              <w:t>Area</w:t>
            </w:r>
          </w:p>
        </w:tc>
        <w:tc>
          <w:tcPr>
            <w:tcW w:type="dxa" w:w="6192"/>
            <w:shd w:val="clear" w:color="auto" w:fill="D9D9D9"/>
          </w:tcPr>
          <w:p>
            <w:pPr>
              <w:spacing w:after="40" w:before="40"/>
            </w:pPr>
            <w:r/>
            <w:r>
              <w:rPr>
                <w:rFonts w:ascii="Calibri" w:hAnsi="Calibri"/>
                <w:b/>
                <w:color w:val="000000"/>
                <w:sz w:val="21"/>
              </w:rPr>
              <w:t>Working on device by the end of Week 2</w:t>
            </w:r>
          </w:p>
        </w:tc>
      </w:tr>
      <w:tr>
        <w:tc>
          <w:tcPr>
            <w:tcW w:type="dxa" w:w="3168"/>
          </w:tcPr>
          <w:p>
            <w:pPr>
              <w:spacing w:after="40" w:before="40"/>
            </w:pPr>
            <w:r/>
            <w:r>
              <w:rPr>
                <w:rFonts w:ascii="Calibri" w:hAnsi="Calibri"/>
                <w:b w:val="0"/>
                <w:color w:val="000000"/>
                <w:sz w:val="21"/>
              </w:rPr>
              <w:t>Running application</w:t>
            </w:r>
          </w:p>
        </w:tc>
        <w:tc>
          <w:tcPr>
            <w:tcW w:type="dxa" w:w="6192"/>
          </w:tcPr>
          <w:p>
            <w:pPr>
              <w:spacing w:after="40" w:before="40"/>
            </w:pPr>
            <w:r/>
            <w:r>
              <w:rPr>
                <w:rFonts w:ascii="Calibri" w:hAnsi="Calibri"/>
                <w:b w:val="0"/>
                <w:color w:val="000000"/>
                <w:sz w:val="21"/>
              </w:rPr>
              <w:t>Installable iOS build (TestFlight), refreshed at the end of each week</w:t>
            </w:r>
          </w:p>
        </w:tc>
      </w:tr>
      <w:tr>
        <w:tc>
          <w:tcPr>
            <w:tcW w:type="dxa" w:w="3168"/>
          </w:tcPr>
          <w:p>
            <w:pPr>
              <w:spacing w:after="40" w:before="40"/>
            </w:pPr>
            <w:r/>
            <w:r>
              <w:rPr>
                <w:rFonts w:ascii="Calibri" w:hAnsi="Calibri"/>
                <w:b w:val="0"/>
                <w:color w:val="000000"/>
                <w:sz w:val="21"/>
              </w:rPr>
              <w:t>Design system</w:t>
            </w:r>
          </w:p>
        </w:tc>
        <w:tc>
          <w:tcPr>
            <w:tcW w:type="dxa" w:w="6192"/>
          </w:tcPr>
          <w:p>
            <w:pPr>
              <w:spacing w:after="40" w:before="40"/>
            </w:pPr>
            <w:r/>
            <w:r>
              <w:rPr>
                <w:rFonts w:ascii="Calibri" w:hAnsi="Calibri"/>
                <w:b w:val="0"/>
                <w:color w:val="000000"/>
                <w:sz w:val="21"/>
              </w:rPr>
              <w:t>Core interface components and the four-tab navigation shell, matching the provided design</w:t>
            </w:r>
          </w:p>
        </w:tc>
      </w:tr>
      <w:tr>
        <w:tc>
          <w:tcPr>
            <w:tcW w:type="dxa" w:w="3168"/>
          </w:tcPr>
          <w:p>
            <w:pPr>
              <w:spacing w:after="40" w:before="40"/>
            </w:pPr>
            <w:r/>
            <w:r>
              <w:rPr>
                <w:rFonts w:ascii="Calibri" w:hAnsi="Calibri"/>
                <w:b w:val="0"/>
                <w:color w:val="000000"/>
                <w:sz w:val="21"/>
              </w:rPr>
              <w:t>Onboarding</w:t>
            </w:r>
          </w:p>
        </w:tc>
        <w:tc>
          <w:tcPr>
            <w:tcW w:type="dxa" w:w="6192"/>
          </w:tcPr>
          <w:p>
            <w:pPr>
              <w:spacing w:after="40" w:before="40"/>
            </w:pPr>
            <w:r/>
            <w:r>
              <w:rPr>
                <w:rFonts w:ascii="Calibri" w:hAnsi="Calibri"/>
                <w:b w:val="0"/>
                <w:color w:val="000000"/>
                <w:sz w:val="21"/>
              </w:rPr>
              <w:t>Welcome sequence, invitation-code entry, and city and email capture</w:t>
            </w:r>
          </w:p>
        </w:tc>
      </w:tr>
      <w:tr>
        <w:tc>
          <w:tcPr>
            <w:tcW w:type="dxa" w:w="3168"/>
          </w:tcPr>
          <w:p>
            <w:pPr>
              <w:spacing w:after="40" w:before="40"/>
            </w:pPr>
            <w:r/>
            <w:r>
              <w:rPr>
                <w:rFonts w:ascii="Calibri" w:hAnsi="Calibri"/>
                <w:b w:val="0"/>
                <w:color w:val="000000"/>
                <w:sz w:val="21"/>
              </w:rPr>
              <w:t>Waitlist</w:t>
            </w:r>
          </w:p>
        </w:tc>
        <w:tc>
          <w:tcPr>
            <w:tcW w:type="dxa" w:w="6192"/>
          </w:tcPr>
          <w:p>
            <w:pPr>
              <w:spacing w:after="40" w:before="40"/>
            </w:pPr>
            <w:r/>
            <w:r>
              <w:rPr>
                <w:rFonts w:ascii="Calibri" w:hAnsi="Calibri"/>
                <w:b w:val="0"/>
                <w:color w:val="000000"/>
                <w:sz w:val="21"/>
              </w:rPr>
              <w:t>Waitlist position displayed, with the group (cohort) structure in place</w:t>
            </w:r>
          </w:p>
        </w:tc>
      </w:tr>
      <w:tr>
        <w:tc>
          <w:tcPr>
            <w:tcW w:type="dxa" w:w="3168"/>
          </w:tcPr>
          <w:p>
            <w:pPr>
              <w:spacing w:after="40" w:before="40"/>
            </w:pPr>
            <w:r/>
            <w:r>
              <w:rPr>
                <w:rFonts w:ascii="Calibri" w:hAnsi="Calibri"/>
                <w:b w:val="0"/>
                <w:color w:val="000000"/>
                <w:sz w:val="21"/>
              </w:rPr>
              <w:t>Compatibility questionnaire</w:t>
            </w:r>
          </w:p>
        </w:tc>
        <w:tc>
          <w:tcPr>
            <w:tcW w:type="dxa" w:w="6192"/>
          </w:tcPr>
          <w:p>
            <w:pPr>
              <w:spacing w:after="40" w:before="40"/>
            </w:pPr>
            <w:r/>
            <w:r>
              <w:rPr>
                <w:rFonts w:ascii="Calibri" w:hAnsi="Calibri"/>
                <w:b w:val="0"/>
                <w:color w:val="000000"/>
                <w:sz w:val="21"/>
              </w:rPr>
              <w:t>Intent, availability and conversation style captured and stored</w:t>
            </w:r>
          </w:p>
        </w:tc>
      </w:tr>
      <w:tr>
        <w:tc>
          <w:tcPr>
            <w:tcW w:type="dxa" w:w="3168"/>
          </w:tcPr>
          <w:p>
            <w:pPr>
              <w:spacing w:after="40" w:before="40"/>
            </w:pPr>
            <w:r/>
            <w:r>
              <w:rPr>
                <w:rFonts w:ascii="Calibri" w:hAnsi="Calibri"/>
                <w:b w:val="0"/>
                <w:color w:val="000000"/>
                <w:sz w:val="21"/>
              </w:rPr>
              <w:t>Backend and accounts</w:t>
            </w:r>
          </w:p>
        </w:tc>
        <w:tc>
          <w:tcPr>
            <w:tcW w:type="dxa" w:w="6192"/>
          </w:tcPr>
          <w:p>
            <w:pPr>
              <w:spacing w:after="40" w:before="40"/>
            </w:pPr>
            <w:r/>
            <w:r>
              <w:rPr>
                <w:rFonts w:ascii="Calibri" w:hAnsi="Calibri"/>
                <w:b w:val="0"/>
                <w:color w:val="000000"/>
                <w:sz w:val="21"/>
              </w:rPr>
              <w:t>Supabase project, data model and member sign-in working</w:t>
            </w:r>
          </w:p>
        </w:tc>
      </w:tr>
      <w:tr>
        <w:tc>
          <w:tcPr>
            <w:tcW w:type="dxa" w:w="3168"/>
          </w:tcPr>
          <w:p>
            <w:pPr>
              <w:spacing w:after="40" w:before="40"/>
            </w:pPr>
            <w:r/>
            <w:r>
              <w:rPr>
                <w:rFonts w:ascii="Calibri" w:hAnsi="Calibri"/>
                <w:b w:val="0"/>
                <w:color w:val="000000"/>
                <w:sz w:val="21"/>
              </w:rPr>
              <w:t>Delivery pace</w:t>
            </w:r>
          </w:p>
        </w:tc>
        <w:tc>
          <w:tcPr>
            <w:tcW w:type="dxa" w:w="6192"/>
          </w:tcPr>
          <w:p>
            <w:pPr>
              <w:spacing w:after="40" w:before="40"/>
            </w:pPr>
            <w:r/>
            <w:r>
              <w:rPr>
                <w:rFonts w:ascii="Calibri" w:hAnsi="Calibri"/>
                <w:b w:val="0"/>
                <w:color w:val="000000"/>
                <w:sz w:val="21"/>
              </w:rPr>
              <w:t>Two weekly builds delivered on schedule, demonstrating sustainable speed</w:t>
            </w:r>
          </w:p>
        </w:tc>
      </w:tr>
    </w:tbl>
    <w:p/>
    <w:p>
      <w:pPr>
        <w:pStyle w:val="Heading1"/>
      </w:pPr>
      <w:r>
        <w:t>9. Cost Summary</w:t>
      </w:r>
    </w:p>
    <w:tbl>
      <w:tblPr>
        <w:tblStyle w:val="TableGrid"/>
        <w:tblW w:type="auto" w:w="0"/>
        <w:jc w:val="left"/>
        <w:tblLook w:firstColumn="1" w:firstRow="1" w:lastColumn="0" w:lastRow="0" w:noHBand="0" w:noVBand="1" w:val="04A0"/>
      </w:tblPr>
      <w:tblGrid>
        <w:gridCol w:w="2880"/>
        <w:gridCol w:w="2880"/>
        <w:gridCol w:w="2880"/>
      </w:tblGrid>
      <w:tr>
        <w:tc>
          <w:tcPr>
            <w:tcW w:type="dxa" w:w="4752"/>
            <w:shd w:val="clear" w:color="auto" w:fill="D9D9D9"/>
          </w:tcPr>
          <w:p>
            <w:pPr>
              <w:spacing w:after="40" w:before="40"/>
            </w:pPr>
            <w:r/>
            <w:r>
              <w:rPr>
                <w:rFonts w:ascii="Calibri" w:hAnsi="Calibri"/>
                <w:b/>
                <w:color w:val="000000"/>
                <w:sz w:val="21"/>
              </w:rPr>
              <w:t>Item</w:t>
            </w:r>
          </w:p>
        </w:tc>
        <w:tc>
          <w:tcPr>
            <w:tcW w:type="dxa" w:w="3168"/>
            <w:shd w:val="clear" w:color="auto" w:fill="D9D9D9"/>
          </w:tcPr>
          <w:p>
            <w:pPr>
              <w:spacing w:after="40" w:before="40"/>
            </w:pPr>
            <w:r/>
            <w:r>
              <w:rPr>
                <w:rFonts w:ascii="Calibri" w:hAnsi="Calibri"/>
                <w:b/>
                <w:color w:val="000000"/>
                <w:sz w:val="21"/>
              </w:rPr>
              <w:t>Basis</w:t>
            </w:r>
          </w:p>
        </w:tc>
        <w:tc>
          <w:tcPr>
            <w:tcW w:type="dxa" w:w="2160"/>
            <w:shd w:val="clear" w:color="auto" w:fill="D9D9D9"/>
          </w:tcPr>
          <w:p>
            <w:pPr>
              <w:spacing w:after="40" w:before="40"/>
            </w:pPr>
            <w:r/>
            <w:r>
              <w:rPr>
                <w:rFonts w:ascii="Calibri" w:hAnsi="Calibri"/>
                <w:b/>
                <w:color w:val="000000"/>
                <w:sz w:val="21"/>
              </w:rPr>
              <w:t>Amount</w:t>
            </w:r>
          </w:p>
        </w:tc>
      </w:tr>
      <w:tr>
        <w:tc>
          <w:tcPr>
            <w:tcW w:type="dxa" w:w="4752"/>
          </w:tcPr>
          <w:p>
            <w:pPr>
              <w:spacing w:after="40" w:before="40"/>
            </w:pPr>
            <w:r/>
            <w:r>
              <w:rPr>
                <w:rFonts w:ascii="Calibri" w:hAnsi="Calibri"/>
                <w:b w:val="0"/>
                <w:color w:val="000000"/>
                <w:sz w:val="21"/>
              </w:rPr>
              <w:t>Application build (8-week fixed scope)</w:t>
            </w:r>
          </w:p>
        </w:tc>
        <w:tc>
          <w:tcPr>
            <w:tcW w:type="dxa" w:w="3168"/>
          </w:tcPr>
          <w:p>
            <w:pPr>
              <w:spacing w:after="40" w:before="40"/>
            </w:pPr>
            <w:r/>
            <w:r>
              <w:rPr>
                <w:rFonts w:ascii="Calibri" w:hAnsi="Calibri"/>
                <w:b w:val="0"/>
                <w:color w:val="000000"/>
                <w:sz w:val="21"/>
              </w:rPr>
              <w:t>40 working days at $1,000 per day</w:t>
            </w:r>
          </w:p>
        </w:tc>
        <w:tc>
          <w:tcPr>
            <w:tcW w:type="dxa" w:w="2160"/>
          </w:tcPr>
          <w:p>
            <w:pPr>
              <w:spacing w:after="40" w:before="40"/>
            </w:pPr>
            <w:r/>
            <w:r>
              <w:rPr>
                <w:rFonts w:ascii="Calibri" w:hAnsi="Calibri"/>
                <w:b w:val="0"/>
                <w:color w:val="000000"/>
                <w:sz w:val="21"/>
              </w:rPr>
              <w:t>$40,000</w:t>
            </w:r>
          </w:p>
        </w:tc>
      </w:tr>
      <w:tr>
        <w:tc>
          <w:tcPr>
            <w:tcW w:type="dxa" w:w="4752"/>
          </w:tcPr>
          <w:p>
            <w:pPr>
              <w:spacing w:after="40" w:before="40"/>
            </w:pPr>
            <w:r/>
            <w:r>
              <w:rPr>
                <w:rFonts w:ascii="Calibri" w:hAnsi="Calibri"/>
                <w:b w:val="0"/>
                <w:color w:val="000000"/>
                <w:sz w:val="21"/>
              </w:rPr>
              <w:t>Total fixed price</w:t>
            </w:r>
          </w:p>
        </w:tc>
        <w:tc>
          <w:tcPr>
            <w:tcW w:type="dxa" w:w="3168"/>
          </w:tcPr>
          <w:p>
            <w:pPr>
              <w:spacing w:after="40" w:before="40"/>
            </w:pPr>
            <w:r/>
            <w:r>
              <w:rPr>
                <w:rFonts w:ascii="Calibri" w:hAnsi="Calibri"/>
                <w:b w:val="0"/>
                <w:color w:val="000000"/>
                <w:sz w:val="21"/>
              </w:rPr>
              <w:t>Excluding GST and third-party costs</w:t>
            </w:r>
          </w:p>
        </w:tc>
        <w:tc>
          <w:tcPr>
            <w:tcW w:type="dxa" w:w="2160"/>
          </w:tcPr>
          <w:p>
            <w:pPr>
              <w:spacing w:after="40" w:before="40"/>
            </w:pPr>
            <w:r/>
            <w:r>
              <w:rPr>
                <w:rFonts w:ascii="Calibri" w:hAnsi="Calibri"/>
                <w:b w:val="0"/>
                <w:color w:val="000000"/>
                <w:sz w:val="21"/>
              </w:rPr>
              <w:t>$40,000</w:t>
            </w:r>
          </w:p>
        </w:tc>
      </w:tr>
    </w:tbl>
    <w:p/>
    <w:p>
      <w:pPr>
        <w:spacing w:after="120"/>
      </w:pPr>
      <w:r>
        <w:rPr>
          <w:b w:val="0"/>
          <w:i/>
          <w:color w:val="555555"/>
          <w:sz w:val="21"/>
        </w:rPr>
        <w:t>The day rate is $1,000 per day. If budget is a constraint, a discounted rate can be discussed on request.</w:t>
      </w:r>
    </w:p>
    <w:p>
      <w:pPr>
        <w:pStyle w:val="Heading1"/>
      </w:pPr>
      <w:r>
        <w:t>10. Payment Schedule</w:t>
      </w:r>
    </w:p>
    <w:p>
      <w:pPr>
        <w:spacing w:after="120"/>
      </w:pPr>
      <w:r>
        <w:rPr>
          <w:b w:val="0"/>
          <w:i w:val="0"/>
          <w:color w:val="000000"/>
          <w:sz w:val="22"/>
        </w:rPr>
        <w:t>The engagement is invoiced weekly. Each weekly invoice is $5,000 (five working days at $1,000 per day), for eight weeks.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D9D9D9"/>
          </w:tcPr>
          <w:p>
            <w:pPr>
              <w:spacing w:after="40" w:before="40"/>
            </w:pPr>
            <w:r/>
            <w:r>
              <w:rPr>
                <w:rFonts w:ascii="Calibri" w:hAnsi="Calibri"/>
                <w:b/>
                <w:color w:val="000000"/>
                <w:sz w:val="21"/>
              </w:rPr>
              <w:t>Invoice</w:t>
            </w:r>
          </w:p>
        </w:tc>
        <w:tc>
          <w:tcPr>
            <w:tcW w:type="dxa" w:w="4320"/>
            <w:shd w:val="clear" w:color="auto" w:fill="D9D9D9"/>
          </w:tcPr>
          <w:p>
            <w:pPr>
              <w:spacing w:after="40" w:before="40"/>
            </w:pPr>
            <w:r/>
            <w:r>
              <w:rPr>
                <w:rFonts w:ascii="Calibri" w:hAnsi="Calibri"/>
                <w:b/>
                <w:color w:val="000000"/>
                <w:sz w:val="21"/>
              </w:rPr>
              <w:t>Timing</w:t>
            </w:r>
          </w:p>
        </w:tc>
        <w:tc>
          <w:tcPr>
            <w:tcW w:type="dxa" w:w="2160"/>
            <w:shd w:val="clear" w:color="auto" w:fill="D9D9D9"/>
          </w:tcPr>
          <w:p>
            <w:pPr>
              <w:spacing w:after="40" w:before="40"/>
            </w:pPr>
            <w:r/>
            <w:r>
              <w:rPr>
                <w:rFonts w:ascii="Calibri" w:hAnsi="Calibri"/>
                <w:b/>
                <w:color w:val="000000"/>
                <w:sz w:val="21"/>
              </w:rPr>
              <w:t>Amount</w:t>
            </w:r>
          </w:p>
        </w:tc>
      </w:tr>
      <w:tr>
        <w:tc>
          <w:tcPr>
            <w:tcW w:type="dxa" w:w="2880"/>
          </w:tcPr>
          <w:p>
            <w:pPr>
              <w:spacing w:after="40" w:before="40"/>
            </w:pPr>
            <w:r/>
            <w:r>
              <w:rPr>
                <w:rFonts w:ascii="Calibri" w:hAnsi="Calibri"/>
                <w:b w:val="0"/>
                <w:color w:val="000000"/>
                <w:sz w:val="21"/>
              </w:rPr>
              <w:t>Week 1</w:t>
            </w:r>
          </w:p>
        </w:tc>
        <w:tc>
          <w:tcPr>
            <w:tcW w:type="dxa" w:w="4320"/>
          </w:tcPr>
          <w:p>
            <w:pPr>
              <w:spacing w:after="40" w:before="40"/>
            </w:pPr>
            <w:r/>
            <w:r>
              <w:rPr>
                <w:rFonts w:ascii="Calibri" w:hAnsi="Calibri"/>
                <w:b w:val="0"/>
                <w:color w:val="000000"/>
                <w:sz w:val="21"/>
              </w:rPr>
              <w:t>End of Week 1</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2</w:t>
            </w:r>
          </w:p>
        </w:tc>
        <w:tc>
          <w:tcPr>
            <w:tcW w:type="dxa" w:w="4320"/>
          </w:tcPr>
          <w:p>
            <w:pPr>
              <w:spacing w:after="40" w:before="40"/>
            </w:pPr>
            <w:r/>
            <w:r>
              <w:rPr>
                <w:rFonts w:ascii="Calibri" w:hAnsi="Calibri"/>
                <w:b w:val="0"/>
                <w:color w:val="000000"/>
                <w:sz w:val="21"/>
              </w:rPr>
              <w:t>End of Week 2</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3</w:t>
            </w:r>
          </w:p>
        </w:tc>
        <w:tc>
          <w:tcPr>
            <w:tcW w:type="dxa" w:w="4320"/>
          </w:tcPr>
          <w:p>
            <w:pPr>
              <w:spacing w:after="40" w:before="40"/>
            </w:pPr>
            <w:r/>
            <w:r>
              <w:rPr>
                <w:rFonts w:ascii="Calibri" w:hAnsi="Calibri"/>
                <w:b w:val="0"/>
                <w:color w:val="000000"/>
                <w:sz w:val="21"/>
              </w:rPr>
              <w:t>End of Week 3</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4</w:t>
            </w:r>
          </w:p>
        </w:tc>
        <w:tc>
          <w:tcPr>
            <w:tcW w:type="dxa" w:w="4320"/>
          </w:tcPr>
          <w:p>
            <w:pPr>
              <w:spacing w:after="40" w:before="40"/>
            </w:pPr>
            <w:r/>
            <w:r>
              <w:rPr>
                <w:rFonts w:ascii="Calibri" w:hAnsi="Calibri"/>
                <w:b w:val="0"/>
                <w:color w:val="000000"/>
                <w:sz w:val="21"/>
              </w:rPr>
              <w:t>End of Week 4</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5</w:t>
            </w:r>
          </w:p>
        </w:tc>
        <w:tc>
          <w:tcPr>
            <w:tcW w:type="dxa" w:w="4320"/>
          </w:tcPr>
          <w:p>
            <w:pPr>
              <w:spacing w:after="40" w:before="40"/>
            </w:pPr>
            <w:r/>
            <w:r>
              <w:rPr>
                <w:rFonts w:ascii="Calibri" w:hAnsi="Calibri"/>
                <w:b w:val="0"/>
                <w:color w:val="000000"/>
                <w:sz w:val="21"/>
              </w:rPr>
              <w:t>End of Week 5</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6</w:t>
            </w:r>
          </w:p>
        </w:tc>
        <w:tc>
          <w:tcPr>
            <w:tcW w:type="dxa" w:w="4320"/>
          </w:tcPr>
          <w:p>
            <w:pPr>
              <w:spacing w:after="40" w:before="40"/>
            </w:pPr>
            <w:r/>
            <w:r>
              <w:rPr>
                <w:rFonts w:ascii="Calibri" w:hAnsi="Calibri"/>
                <w:b w:val="0"/>
                <w:color w:val="000000"/>
                <w:sz w:val="21"/>
              </w:rPr>
              <w:t>End of Week 6</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7</w:t>
            </w:r>
          </w:p>
        </w:tc>
        <w:tc>
          <w:tcPr>
            <w:tcW w:type="dxa" w:w="4320"/>
          </w:tcPr>
          <w:p>
            <w:pPr>
              <w:spacing w:after="40" w:before="40"/>
            </w:pPr>
            <w:r/>
            <w:r>
              <w:rPr>
                <w:rFonts w:ascii="Calibri" w:hAnsi="Calibri"/>
                <w:b w:val="0"/>
                <w:color w:val="000000"/>
                <w:sz w:val="21"/>
              </w:rPr>
              <w:t>End of Week 7</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Week 8</w:t>
            </w:r>
          </w:p>
        </w:tc>
        <w:tc>
          <w:tcPr>
            <w:tcW w:type="dxa" w:w="4320"/>
          </w:tcPr>
          <w:p>
            <w:pPr>
              <w:spacing w:after="40" w:before="40"/>
            </w:pPr>
            <w:r/>
            <w:r>
              <w:rPr>
                <w:rFonts w:ascii="Calibri" w:hAnsi="Calibri"/>
                <w:b w:val="0"/>
                <w:color w:val="000000"/>
                <w:sz w:val="21"/>
              </w:rPr>
              <w:t>End of Week 8</w:t>
            </w:r>
          </w:p>
        </w:tc>
        <w:tc>
          <w:tcPr>
            <w:tcW w:type="dxa" w:w="2160"/>
          </w:tcPr>
          <w:p>
            <w:pPr>
              <w:spacing w:after="40" w:before="40"/>
            </w:pPr>
            <w:r/>
            <w:r>
              <w:rPr>
                <w:rFonts w:ascii="Calibri" w:hAnsi="Calibri"/>
                <w:b w:val="0"/>
                <w:color w:val="000000"/>
                <w:sz w:val="21"/>
              </w:rPr>
              <w:t>$5,000</w:t>
            </w:r>
          </w:p>
        </w:tc>
      </w:tr>
      <w:tr>
        <w:tc>
          <w:tcPr>
            <w:tcW w:type="dxa" w:w="2880"/>
          </w:tcPr>
          <w:p>
            <w:pPr>
              <w:spacing w:after="40" w:before="40"/>
            </w:pPr>
            <w:r/>
            <w:r>
              <w:rPr>
                <w:rFonts w:ascii="Calibri" w:hAnsi="Calibri"/>
                <w:b w:val="0"/>
                <w:color w:val="000000"/>
                <w:sz w:val="21"/>
              </w:rPr>
              <w:t>Total</w:t>
            </w:r>
          </w:p>
        </w:tc>
        <w:tc>
          <w:tcPr>
            <w:tcW w:type="dxa" w:w="4320"/>
          </w:tcPr>
          <w:p>
            <w:pPr>
              <w:spacing w:after="40" w:before="40"/>
            </w:pPr>
            <w:r/>
            <w:r>
              <w:rPr>
                <w:rFonts w:ascii="Calibri" w:hAnsi="Calibri"/>
                <w:b w:val="0"/>
                <w:color w:val="000000"/>
                <w:sz w:val="21"/>
              </w:rPr>
              <w:t>8 weekly invoices</w:t>
            </w:r>
          </w:p>
        </w:tc>
        <w:tc>
          <w:tcPr>
            <w:tcW w:type="dxa" w:w="2160"/>
          </w:tcPr>
          <w:p>
            <w:pPr>
              <w:spacing w:after="40" w:before="40"/>
            </w:pPr>
            <w:r/>
            <w:r>
              <w:rPr>
                <w:rFonts w:ascii="Calibri" w:hAnsi="Calibri"/>
                <w:b w:val="0"/>
                <w:color w:val="000000"/>
                <w:sz w:val="21"/>
              </w:rPr>
              <w:t>$40,000</w:t>
            </w:r>
          </w:p>
        </w:tc>
      </w:tr>
    </w:tbl>
    <w:p/>
    <w:p>
      <w:pPr>
        <w:spacing w:after="120"/>
      </w:pPr>
      <w:r>
        <w:rPr>
          <w:b w:val="0"/>
          <w:i w:val="0"/>
          <w:color w:val="555555"/>
          <w:sz w:val="21"/>
        </w:rPr>
        <w:t>Each weekly invoice is issued at the end of the week, with payment due within 7 days.</w:t>
      </w:r>
    </w:p>
    <w:p>
      <w:pPr>
        <w:spacing w:after="120"/>
      </w:pPr>
      <w:r>
        <w:rPr>
          <w:b w:val="0"/>
          <w:i w:val="0"/>
          <w:color w:val="555555"/>
          <w:sz w:val="21"/>
        </w:rPr>
        <w:t>The client's initial financial commitment is limited to the two-week trial period ($10,000). Invoicing for Weeks 3 to 8 proceeds only if the engagement continues past the end-of-Week-2 review (see Section 8).</w:t>
      </w:r>
    </w:p>
    <w:p>
      <w:pPr>
        <w:pStyle w:val="Heading1"/>
      </w:pPr>
      <w:r>
        <w:t>11. Decisions Required Before Work Begins</w:t>
      </w:r>
    </w:p>
    <w:p>
      <w:pPr>
        <w:spacing w:after="120"/>
      </w:pPr>
      <w:r>
        <w:rPr>
          <w:b w:val="0"/>
          <w:i w:val="0"/>
          <w:color w:val="000000"/>
          <w:sz w:val="22"/>
        </w:rPr>
        <w:t>The following decisions affect scope, cost or compliance and should be confirmed at the start.</w:t>
      </w:r>
    </w:p>
    <w:p>
      <w:pPr>
        <w:pStyle w:val="ListNumber"/>
        <w:spacing w:after="60"/>
      </w:pPr>
      <w:r>
        <w:rPr>
          <w:sz w:val="22"/>
        </w:rPr>
        <w:t>Payments and app store policy. Access to in-person dining is a real-world service, which is generally exempt from Apple's mandatory in-app purchase rules, allowing payments to run through Stripe. This should be confirmed early. Requires client sign-off.</w:t>
      </w:r>
    </w:p>
    <w:p>
      <w:pPr>
        <w:pStyle w:val="ListNumber"/>
        <w:spacing w:after="60"/>
      </w:pPr>
      <w:r>
        <w:rPr>
          <w:sz w:val="22"/>
        </w:rPr>
        <w:t>Deposit and attendance confirmation. How attendance is confirmed in order to release the deposit. Recommended approach for launch is operator confirmation.</w:t>
      </w:r>
    </w:p>
    <w:p>
      <w:pPr>
        <w:pStyle w:val="ListNumber"/>
        <w:spacing w:after="60"/>
      </w:pPr>
      <w:r>
        <w:rPr>
          <w:sz w:val="22"/>
        </w:rPr>
        <w:t>Trust and safety. Baseline reporting, blocking and a code of conduct are included for launch. Identity verification is a fast-follow. Requires client sign-off.</w:t>
      </w:r>
    </w:p>
    <w:p>
      <w:pPr>
        <w:pStyle w:val="ListNumber"/>
        <w:spacing w:after="60"/>
      </w:pPr>
      <w:r>
        <w:rPr>
          <w:sz w:val="22"/>
        </w:rPr>
        <w:t>Launch city and platform. A single city on iOS for launch, with Android as a fast-follow.</w:t>
      </w:r>
    </w:p>
    <w:p>
      <w:pPr>
        <w:pStyle w:val="ListNumber"/>
        <w:spacing w:after="60"/>
      </w:pPr>
      <w:r>
        <w:rPr>
          <w:sz w:val="22"/>
        </w:rPr>
        <w:t>Legal and compliance. Terms of service, privacy policy and event liability. To be prepared with a lawyer and budgeted separately. Requires client sign-off.</w:t>
      </w:r>
    </w:p>
    <w:p>
      <w:pPr>
        <w:pStyle w:val="Heading1"/>
      </w:pPr>
      <w:r>
        <w:t>12. Fast-Follows After Launch</w:t>
      </w:r>
    </w:p>
    <w:p>
      <w:pPr>
        <w:spacing w:after="120"/>
      </w:pPr>
      <w:r>
        <w:rPr>
          <w:b w:val="0"/>
          <w:i w:val="0"/>
          <w:color w:val="000000"/>
          <w:sz w:val="22"/>
        </w:rPr>
        <w:t>The following items are intentionally scheduled after launch to protect the 8-week timeline.</w:t>
      </w:r>
    </w:p>
    <w:p>
      <w:pPr>
        <w:pStyle w:val="Heading2"/>
      </w:pPr>
      <w:r>
        <w:t>Near-term (approximately 2 to 3 weeks combined)</w:t>
      </w:r>
    </w:p>
    <w:p>
      <w:pPr>
        <w:pStyle w:val="ListBullet"/>
        <w:spacing w:after="60"/>
      </w:pPr>
      <w:r>
        <w:rPr>
          <w:sz w:val="22"/>
        </w:rPr>
        <w:t>Android build and Google Play release.</w:t>
      </w:r>
    </w:p>
    <w:p>
      <w:pPr>
        <w:pStyle w:val="ListBullet"/>
        <w:spacing w:after="60"/>
      </w:pPr>
      <w:r>
        <w:rPr>
          <w:sz w:val="22"/>
        </w:rPr>
        <w:t>Full operations back-office for managing groups, venues and tables.</w:t>
      </w:r>
    </w:p>
    <w:p>
      <w:pPr>
        <w:pStyle w:val="ListBullet"/>
        <w:spacing w:after="60"/>
      </w:pPr>
      <w:r>
        <w:rPr>
          <w:sz w:val="22"/>
        </w:rPr>
        <w:t>Trust and safety improvements including identity verification.</w:t>
      </w:r>
    </w:p>
    <w:p>
      <w:pPr>
        <w:pStyle w:val="Heading2"/>
      </w:pPr>
      <w:r>
        <w:t>Later phases</w:t>
      </w:r>
    </w:p>
    <w:p>
      <w:pPr>
        <w:pStyle w:val="ListBullet"/>
        <w:spacing w:after="60"/>
      </w:pPr>
      <w:r>
        <w:rPr>
          <w:sz w:val="22"/>
        </w:rPr>
        <w:t>Data-driven matching once dinner history is available.</w:t>
      </w:r>
    </w:p>
    <w:p>
      <w:pPr>
        <w:pStyle w:val="ListBullet"/>
        <w:spacing w:after="60"/>
      </w:pPr>
      <w:r>
        <w:rPr>
          <w:sz w:val="22"/>
        </w:rPr>
        <w:t>Expansion to additional cities.</w:t>
      </w:r>
    </w:p>
    <w:p>
      <w:pPr>
        <w:pStyle w:val="ListBullet"/>
        <w:spacing w:after="60"/>
      </w:pPr>
      <w:r>
        <w:rPr>
          <w:sz w:val="22"/>
        </w:rPr>
        <w:t>Black tier tooling and premium event formats.</w:t>
      </w:r>
    </w:p>
    <w:p>
      <w:pPr>
        <w:pStyle w:val="ListBullet"/>
        <w:spacing w:after="60"/>
      </w:pPr>
      <w:r>
        <w:rPr>
          <w:sz w:val="22"/>
        </w:rPr>
        <w:t>Venue self-service portal and venue payouts.</w:t>
      </w:r>
    </w:p>
    <w:p>
      <w:pPr>
        <w:pStyle w:val="ListBullet"/>
        <w:spacing w:after="60"/>
      </w:pPr>
      <w:r>
        <w:rPr>
          <w:sz w:val="22"/>
        </w:rPr>
        <w:t>Referrals and gift memberships.</w:t>
      </w:r>
    </w:p>
    <w:p>
      <w:pPr>
        <w:pStyle w:val="ListBullet"/>
        <w:spacing w:after="60"/>
      </w:pPr>
      <w:r>
        <w:rPr>
          <w:sz w:val="22"/>
        </w:rPr>
        <w:t>Member web application and advanced reporting.</w:t>
      </w:r>
    </w:p>
    <w:p>
      <w:pPr>
        <w:pStyle w:val="Heading1"/>
      </w:pPr>
      <w:r>
        <w:t>13. Assumptions</w:t>
      </w:r>
    </w:p>
    <w:p>
      <w:pPr>
        <w:pStyle w:val="ListBullet"/>
        <w:spacing w:after="60"/>
      </w:pPr>
      <w:r>
        <w:rPr>
          <w:sz w:val="22"/>
        </w:rPr>
        <w:t>One launch city on iOS for the initial version.</w:t>
      </w:r>
    </w:p>
    <w:p>
      <w:pPr>
        <w:pStyle w:val="ListBullet"/>
        <w:spacing w:after="60"/>
      </w:pPr>
      <w:r>
        <w:rPr>
          <w:sz w:val="22"/>
        </w:rPr>
        <w:t>Scope is fixed at the start of the engagement. New requests are recorded for a later phase.</w:t>
      </w:r>
    </w:p>
    <w:p>
      <w:pPr>
        <w:pStyle w:val="ListBullet"/>
        <w:spacing w:after="60"/>
      </w:pPr>
      <w:r>
        <w:rPr>
          <w:sz w:val="22"/>
        </w:rPr>
        <w:t>Table matching is rule-based and operator-assisted for the launch version.</w:t>
      </w:r>
    </w:p>
    <w:p>
      <w:pPr>
        <w:pStyle w:val="ListBullet"/>
        <w:spacing w:after="60"/>
      </w:pPr>
      <w:r>
        <w:rPr>
          <w:sz w:val="22"/>
        </w:rPr>
        <w:t>The client is responsible for venues, curation decisions and content.</w:t>
      </w:r>
    </w:p>
    <w:p>
      <w:pPr>
        <w:pStyle w:val="ListBullet"/>
        <w:spacing w:after="60"/>
      </w:pPr>
      <w:r>
        <w:rPr>
          <w:sz w:val="22"/>
        </w:rPr>
        <w:t>Brand and design are provided and final.</w:t>
      </w:r>
    </w:p>
    <w:p>
      <w:pPr>
        <w:pStyle w:val="ListBullet"/>
        <w:spacing w:after="60"/>
      </w:pPr>
      <w:r>
        <w:rPr>
          <w:sz w:val="22"/>
        </w:rPr>
        <w:t>Payments use Stripe under the real-world-service exemption, subject to confirmation.</w:t>
      </w:r>
    </w:p>
    <w:p>
      <w:pPr>
        <w:pStyle w:val="Heading1"/>
      </w:pPr>
      <w:r>
        <w:t>14. Costs Not Included in This Quote</w:t>
      </w:r>
    </w:p>
    <w:p>
      <w:pPr>
        <w:pStyle w:val="ListBullet"/>
        <w:spacing w:after="60"/>
      </w:pPr>
      <w:r>
        <w:rPr>
          <w:sz w:val="22"/>
        </w:rPr>
        <w:t>Apple Developer account ($99 per year) and Google Play account ($25 one-off).</w:t>
      </w:r>
    </w:p>
    <w:p>
      <w:pPr>
        <w:pStyle w:val="ListBullet"/>
        <w:spacing w:after="60"/>
      </w:pPr>
      <w:r>
        <w:rPr>
          <w:sz w:val="22"/>
        </w:rPr>
        <w:t>Usage-based service costs: Supabase, Stripe fees, Mapbox, notifications and monitoring.</w:t>
      </w:r>
    </w:p>
    <w:p>
      <w:pPr>
        <w:pStyle w:val="ListBullet"/>
        <w:spacing w:after="60"/>
      </w:pPr>
      <w:r>
        <w:rPr>
          <w:sz w:val="22"/>
        </w:rPr>
        <w:t>Legal review of terms, privacy and liability.</w:t>
      </w:r>
    </w:p>
    <w:p>
      <w:pPr>
        <w:pStyle w:val="ListBullet"/>
        <w:spacing w:after="60"/>
      </w:pPr>
      <w:r>
        <w:rPr>
          <w:sz w:val="22"/>
        </w:rPr>
        <w:t>Font licensing and any premium assets.</w:t>
      </w:r>
    </w:p>
    <w:p>
      <w:pPr>
        <w:pStyle w:val="ListBullet"/>
        <w:spacing w:after="60"/>
      </w:pPr>
      <w:r>
        <w:rPr>
          <w:sz w:val="22"/>
        </w:rPr>
        <w:t>Goods and services tax (GST), if applicable.</w:t>
      </w:r>
    </w:p>
    <w:p>
      <w:pPr>
        <w:pStyle w:val="Heading1"/>
      </w:pPr>
      <w:r>
        <w:t>15. Next Steps</w:t>
      </w:r>
    </w:p>
    <w:p>
      <w:pPr>
        <w:pStyle w:val="ListNumber"/>
        <w:spacing w:after="60"/>
      </w:pPr>
      <w:r>
        <w:rPr>
          <w:sz w:val="22"/>
        </w:rPr>
        <w:t>Confirm acceptance of this proposal, beginning with the two-week trial period.</w:t>
      </w:r>
    </w:p>
    <w:p>
      <w:pPr>
        <w:pStyle w:val="ListNumber"/>
        <w:spacing w:after="60"/>
      </w:pPr>
      <w:r>
        <w:rPr>
          <w:sz w:val="22"/>
        </w:rPr>
        <w:t>Confirm the items marked for sign-off in Section 9.</w:t>
      </w:r>
    </w:p>
    <w:p>
      <w:pPr>
        <w:pStyle w:val="ListNumber"/>
        <w:spacing w:after="60"/>
      </w:pPr>
      <w:r>
        <w:rPr>
          <w:sz w:val="22"/>
        </w:rPr>
        <w:t>Countersign and return, and settle the commencement invoice.</w:t>
      </w:r>
    </w:p>
    <w:p>
      <w:pPr>
        <w:pStyle w:val="ListNumber"/>
        <w:spacing w:after="60"/>
      </w:pPr>
      <w:r>
        <w:rPr>
          <w:sz w:val="22"/>
        </w:rPr>
        <w:t>Begin Week 1. A running build will be available on device within the first week.</w:t>
      </w:r>
    </w:p>
    <w:p>
      <w:pPr>
        <w:pStyle w:val="ListNumber"/>
        <w:spacing w:after="60"/>
      </w:pPr>
      <w:r>
        <w:rPr>
          <w:sz w:val="22"/>
        </w:rPr>
        <w:t>Review progress at the end of Week 2 and jointly decide whether to continue into Weeks 3 to 8.</w:t>
      </w:r>
    </w:p>
    <w:p/>
    <w:p>
      <w:r>
        <w:rPr>
          <w:color w:val="555555"/>
          <w:sz w:val="18"/>
        </w:rPr>
        <w:t>Prepared by Gary Shannon  |  10 July 2026  |  Day rate $1,000 per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