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Calibri" w:hAnsi="Calibri"/>
          <w:b/>
          <w:i w:val="0"/>
          <w:color w:val="28288C"/>
          <w:sz w:val="56"/>
        </w:rPr>
        <w:t>META EARTH HUB</w:t>
      </w:r>
    </w:p>
    <w:p>
      <w:pPr>
        <w:jc w:val="center"/>
      </w:pPr>
      <w:r>
        <w:rPr>
          <w:rFonts w:ascii="Calibri" w:hAnsi="Calibri"/>
          <w:b w:val="0"/>
          <w:i/>
          <w:color w:val="505050"/>
          <w:sz w:val="36"/>
        </w:rPr>
        <w:t>Bug Bounty — Security Research Report</w:t>
      </w:r>
    </w:p>
    <w:p>
      <w:pPr>
        <w:spacing w:after="120"/>
      </w:pPr>
    </w:p>
    <w:p>
      <w:pPr>
        <w:spacing w:after="120"/>
      </w:pPr>
    </w:p>
    <w:p>
      <w:pPr>
        <w:jc w:val="center"/>
      </w:pPr>
      <w:r>
        <w:rPr>
          <w:rFonts w:ascii="Calibri" w:hAnsi="Calibri"/>
          <w:b/>
          <w:i w:val="0"/>
          <w:color w:val="C83C00"/>
          <w:sz w:val="28"/>
        </w:rPr>
        <w:t>Phase I — ME Hub (Settlement Layer)</w:t>
      </w:r>
    </w:p>
    <w:p>
      <w:pPr>
        <w:spacing w:after="120"/>
      </w:pPr>
    </w:p>
    <w:p>
      <w:pPr>
        <w:jc w:val="center"/>
      </w:pPr>
      <w:r>
        <w:rPr>
          <w:rFonts w:ascii="Calibri" w:hAnsi="Calibri"/>
          <w:b w:val="0"/>
          <w:i w:val="0"/>
          <w:color w:val="1E1EC8"/>
          <w:sz w:val="22"/>
        </w:rPr>
        <w:t>Repository: github.com/openmetaearth/me-hub</w:t>
      </w:r>
    </w:p>
    <w:p>
      <w:pPr>
        <w:jc w:val="center"/>
      </w:pPr>
      <w:r>
        <w:rPr>
          <w:rFonts w:ascii="Calibri" w:hAnsi="Calibri"/>
          <w:b w:val="0"/>
          <w:i w:val="0"/>
          <w:color w:val="1E1EC8"/>
          <w:sz w:val="22"/>
        </w:rPr>
        <w:t>Bug Bounty Program: https://www.mec.me/en-US/bug-bounty</w:t>
      </w:r>
    </w:p>
    <w:p>
      <w:pPr>
        <w:spacing w:after="120"/>
      </w:pPr>
    </w:p>
    <w:p>
      <w:pPr>
        <w:spacing w:after="120"/>
      </w:pPr>
    </w:p>
    <w:p>
      <w:pPr>
        <w:spacing w:after="120"/>
      </w:pPr>
    </w:p>
    <w:p>
      <w:pPr>
        <w:jc w:val="center"/>
      </w:pPr>
      <w:r>
        <w:rPr>
          <w:rFonts w:ascii="Calibri" w:hAnsi="Calibri"/>
          <w:b/>
          <w:i w:val="0"/>
          <w:color w:val="141414"/>
          <w:sz w:val="26"/>
        </w:rPr>
        <w:t>Total Bugs Found: 10  |  Critical: 1  |  High: 4  |  Medium: 5</w:t>
      </w:r>
    </w:p>
    <w:p>
      <w:pPr>
        <w:spacing w:after="120"/>
      </w:pPr>
    </w:p>
    <w:p>
      <w:pPr>
        <w:jc w:val="center"/>
      </w:pPr>
      <w:r>
        <w:rPr>
          <w:rFonts w:ascii="Calibri" w:hAnsi="Calibri"/>
          <w:b/>
          <w:i w:val="0"/>
          <w:color w:val="007800"/>
          <w:sz w:val="26"/>
        </w:rPr>
        <w:t>Estimated Reward Range: $5,850 – $15,000 MEC</w:t>
      </w:r>
    </w:p>
    <w:p>
      <w:r>
        <w:br w:type="page"/>
      </w:r>
    </w:p>
    <w:p>
      <w:pPr>
        <w:spacing w:before="240" w:after="120"/>
      </w:pPr>
      <w:r>
        <w:rPr>
          <w:rFonts w:ascii="Calibri" w:hAnsi="Calibri"/>
          <w:b/>
          <w:i w:val="0"/>
          <w:color w:val="28288C"/>
          <w:sz w:val="40"/>
        </w:rPr>
        <w:t>TABLE OF CONTENTS</w:t>
      </w:r>
    </w:p>
    <w:p>
      <w:pPr>
        <w:spacing w:before="120" w:after="120"/>
        <w:pBdr>
          <w:bottom w:val="single" w:sz="6" w:space="1" w:color="283593"/>
        </w:pBdr>
      </w:pPr>
    </w:p>
    <w:p>
      <w:pPr>
        <w:spacing w:after="60"/>
      </w:pPr>
      <w:r>
        <w:rPr>
          <w:rFonts w:ascii="Calibri" w:hAnsi="Calibri"/>
          <w:b w:val="0"/>
          <w:i w:val="0"/>
          <w:color w:val="141414"/>
          <w:sz w:val="22"/>
        </w:rPr>
        <w:t>1.  Executive Summary</w:t>
      </w:r>
      <w:r>
        <w:rPr>
          <w:rFonts w:ascii="Calibri" w:hAnsi="Calibri"/>
          <w:b w:val="0"/>
          <w:i w:val="0"/>
          <w:color w:val="646464"/>
          <w:sz w:val="22"/>
        </w:rPr>
        <w:t xml:space="preserve">  ........ 3</w:t>
      </w:r>
    </w:p>
    <w:p>
      <w:pPr>
        <w:spacing w:after="60"/>
      </w:pPr>
      <w:r>
        <w:rPr>
          <w:rFonts w:ascii="Calibri" w:hAnsi="Calibri"/>
          <w:b w:val="0"/>
          <w:i w:val="0"/>
          <w:color w:val="141414"/>
          <w:sz w:val="22"/>
        </w:rPr>
        <w:t>2.  Summary Table of All Bugs</w:t>
      </w:r>
      <w:r>
        <w:rPr>
          <w:rFonts w:ascii="Calibri" w:hAnsi="Calibri"/>
          <w:b w:val="0"/>
          <w:i w:val="0"/>
          <w:color w:val="646464"/>
          <w:sz w:val="22"/>
        </w:rPr>
        <w:t xml:space="preserve">  ........ 4</w:t>
      </w:r>
    </w:p>
    <w:p>
      <w:pPr>
        <w:spacing w:after="60"/>
      </w:pPr>
      <w:r>
        <w:rPr>
          <w:rFonts w:ascii="Calibri" w:hAnsi="Calibri"/>
          <w:b w:val="0"/>
          <w:i w:val="0"/>
          <w:color w:val="141414"/>
          <w:sz w:val="22"/>
        </w:rPr>
        <w:t>3.  Bug #1  [CRITICAL]  AllocateBlockReward — Int64 Overflow → Chain Halt</w:t>
      </w:r>
      <w:r>
        <w:rPr>
          <w:rFonts w:ascii="Calibri" w:hAnsi="Calibri"/>
          <w:b w:val="0"/>
          <w:i w:val="0"/>
          <w:color w:val="646464"/>
          <w:sz w:val="22"/>
        </w:rPr>
        <w:t xml:space="preserve">  ........ 5</w:t>
      </w:r>
    </w:p>
    <w:p>
      <w:pPr>
        <w:spacing w:after="60"/>
      </w:pPr>
      <w:r>
        <w:rPr>
          <w:rFonts w:ascii="Calibri" w:hAnsi="Calibri"/>
          <w:b w:val="0"/>
          <w:i w:val="0"/>
          <w:color w:val="141414"/>
          <w:sz w:val="22"/>
        </w:rPr>
        <w:t>4.  Bug #2  [HIGH]  JoinGroup &amp; procKycRegionChange — Empty Admin Panic</w:t>
      </w:r>
      <w:r>
        <w:rPr>
          <w:rFonts w:ascii="Calibri" w:hAnsi="Calibri"/>
          <w:b w:val="0"/>
          <w:i w:val="0"/>
          <w:color w:val="646464"/>
          <w:sz w:val="22"/>
        </w:rPr>
        <w:t xml:space="preserve">  ........ 7</w:t>
      </w:r>
    </w:p>
    <w:p>
      <w:pPr>
        <w:spacing w:after="60"/>
      </w:pPr>
      <w:r>
        <w:rPr>
          <w:rFonts w:ascii="Calibri" w:hAnsi="Calibri"/>
          <w:b w:val="0"/>
          <w:i w:val="0"/>
          <w:color w:val="141414"/>
          <w:sz w:val="22"/>
        </w:rPr>
        <w:t>5.  Bug #3  [MEDIUM]  sendKycRewards — Silent DelegateInterest Skip</w:t>
      </w:r>
      <w:r>
        <w:rPr>
          <w:rFonts w:ascii="Calibri" w:hAnsi="Calibri"/>
          <w:b w:val="0"/>
          <w:i w:val="0"/>
          <w:color w:val="646464"/>
          <w:sz w:val="22"/>
        </w:rPr>
        <w:t xml:space="preserve">  ........ 9</w:t>
      </w:r>
    </w:p>
    <w:p>
      <w:pPr>
        <w:spacing w:after="60"/>
      </w:pPr>
      <w:r>
        <w:rPr>
          <w:rFonts w:ascii="Calibri" w:hAnsi="Calibri"/>
          <w:b w:val="0"/>
          <w:i w:val="0"/>
          <w:color w:val="141414"/>
          <w:sz w:val="22"/>
        </w:rPr>
        <w:t>6.  Bug #4  [HIGH]  getRewardsByHeight — Off-by-One at Halving Boundaries</w:t>
      </w:r>
      <w:r>
        <w:rPr>
          <w:rFonts w:ascii="Calibri" w:hAnsi="Calibri"/>
          <w:b w:val="0"/>
          <w:i w:val="0"/>
          <w:color w:val="646464"/>
          <w:sz w:val="22"/>
        </w:rPr>
        <w:t xml:space="preserve">  ........ 11</w:t>
      </w:r>
    </w:p>
    <w:p>
      <w:pPr>
        <w:spacing w:after="60"/>
      </w:pPr>
      <w:r>
        <w:rPr>
          <w:rFonts w:ascii="Calibri" w:hAnsi="Calibri"/>
          <w:b w:val="0"/>
          <w:i w:val="0"/>
          <w:color w:val="141414"/>
          <w:sz w:val="22"/>
        </w:rPr>
        <w:t>7.  Bug #5  [HIGH]  WithdrawFromRegion — No Solvency Check, Treasury Drain</w:t>
      </w:r>
      <w:r>
        <w:rPr>
          <w:rFonts w:ascii="Calibri" w:hAnsi="Calibri"/>
          <w:b w:val="0"/>
          <w:i w:val="0"/>
          <w:color w:val="646464"/>
          <w:sz w:val="22"/>
        </w:rPr>
        <w:t xml:space="preserve">  ........ 13</w:t>
      </w:r>
    </w:p>
    <w:p>
      <w:pPr>
        <w:spacing w:after="60"/>
      </w:pPr>
      <w:r>
        <w:rPr>
          <w:rFonts w:ascii="Calibri" w:hAnsi="Calibri"/>
          <w:b w:val="0"/>
          <w:i w:val="0"/>
          <w:color w:val="141414"/>
          <w:sz w:val="22"/>
        </w:rPr>
        <w:t>8.  Bug #6  [MEDIUM]  DoFixedDeposit — Incorrect Solvency Formula</w:t>
      </w:r>
      <w:r>
        <w:rPr>
          <w:rFonts w:ascii="Calibri" w:hAnsi="Calibri"/>
          <w:b w:val="0"/>
          <w:i w:val="0"/>
          <w:color w:val="646464"/>
          <w:sz w:val="22"/>
        </w:rPr>
        <w:t xml:space="preserve">  ........ 15</w:t>
      </w:r>
    </w:p>
    <w:p>
      <w:pPr>
        <w:spacing w:after="60"/>
      </w:pPr>
      <w:r>
        <w:rPr>
          <w:rFonts w:ascii="Calibri" w:hAnsi="Calibri"/>
          <w:b w:val="0"/>
          <w:i w:val="0"/>
          <w:color w:val="141414"/>
          <w:sz w:val="22"/>
        </w:rPr>
        <w:t>9.  Bug #7  [HIGH]  IbcTransferFromRegionTreasure — Receiver Hardcoded as Sender</w:t>
      </w:r>
      <w:r>
        <w:rPr>
          <w:rFonts w:ascii="Calibri" w:hAnsi="Calibri"/>
          <w:b w:val="0"/>
          <w:i w:val="0"/>
          <w:color w:val="646464"/>
          <w:sz w:val="22"/>
        </w:rPr>
        <w:t xml:space="preserve">  ........ 17</w:t>
      </w:r>
    </w:p>
    <w:p>
      <w:pPr>
        <w:spacing w:after="60"/>
      </w:pPr>
      <w:r>
        <w:rPr>
          <w:rFonts w:ascii="Calibri" w:hAnsi="Calibri"/>
          <w:b w:val="0"/>
          <w:i w:val="0"/>
          <w:color w:val="141414"/>
          <w:sz w:val="22"/>
        </w:rPr>
        <w:t>10.  Bug #8  [MEDIUM]  RemoveMeidNFT — Wrong Store Prefix, Index Leak</w:t>
      </w:r>
      <w:r>
        <w:rPr>
          <w:rFonts w:ascii="Calibri" w:hAnsi="Calibri"/>
          <w:b w:val="0"/>
          <w:i w:val="0"/>
          <w:color w:val="646464"/>
          <w:sz w:val="22"/>
        </w:rPr>
        <w:t xml:space="preserve">  ........ 19</w:t>
      </w:r>
    </w:p>
    <w:p>
      <w:pPr>
        <w:spacing w:after="60"/>
      </w:pPr>
      <w:r>
        <w:rPr>
          <w:rFonts w:ascii="Calibri" w:hAnsi="Calibri"/>
          <w:b w:val="0"/>
          <w:i w:val="0"/>
          <w:color w:val="141414"/>
          <w:sz w:val="22"/>
        </w:rPr>
        <w:t>11.  Bug #9  [MEDIUM]  SetFixedDepositCfgRate — Silent Regional Lock</w:t>
      </w:r>
      <w:r>
        <w:rPr>
          <w:rFonts w:ascii="Calibri" w:hAnsi="Calibri"/>
          <w:b w:val="0"/>
          <w:i w:val="0"/>
          <w:color w:val="646464"/>
          <w:sz w:val="22"/>
        </w:rPr>
        <w:t xml:space="preserve">  ........ 21</w:t>
      </w:r>
    </w:p>
    <w:p>
      <w:pPr>
        <w:spacing w:after="60"/>
      </w:pPr>
      <w:r>
        <w:rPr>
          <w:rFonts w:ascii="Calibri" w:hAnsi="Calibri"/>
          <w:b w:val="0"/>
          <w:i w:val="0"/>
          <w:color w:val="141414"/>
          <w:sz w:val="22"/>
        </w:rPr>
        <w:t>12.  Bug #10 [MEDIUM]  UpdateValidatorPubKey — SlashingInfo Storage Leak</w:t>
      </w:r>
      <w:r>
        <w:rPr>
          <w:rFonts w:ascii="Calibri" w:hAnsi="Calibri"/>
          <w:b w:val="0"/>
          <w:i w:val="0"/>
          <w:color w:val="646464"/>
          <w:sz w:val="22"/>
        </w:rPr>
        <w:t xml:space="preserve">  ........ 23</w:t>
      </w:r>
    </w:p>
    <w:p>
      <w:r>
        <w:br w:type="page"/>
      </w:r>
    </w:p>
    <w:p>
      <w:pPr>
        <w:spacing w:before="240" w:after="120"/>
      </w:pPr>
      <w:r>
        <w:rPr>
          <w:rFonts w:ascii="Calibri" w:hAnsi="Calibri"/>
          <w:b/>
          <w:i w:val="0"/>
          <w:color w:val="28288C"/>
          <w:sz w:val="40"/>
        </w:rPr>
        <w:t>1. Executive Summary</w:t>
      </w:r>
    </w:p>
    <w:p>
      <w:pPr>
        <w:spacing w:before="120" w:after="120"/>
        <w:pBdr>
          <w:bottom w:val="single" w:sz="6" w:space="1" w:color="283593"/>
        </w:pBdr>
      </w:pPr>
    </w:p>
    <w:p>
      <w:pPr>
        <w:spacing w:after="80"/>
      </w:pPr>
      <w:r>
        <w:rPr>
          <w:rFonts w:ascii="Calibri" w:hAnsi="Calibri"/>
          <w:b w:val="0"/>
          <w:i w:val="0"/>
          <w:color w:val="141414"/>
          <w:sz w:val="22"/>
        </w:rPr>
        <w:t>This report presents 10 original security vulnerabilities discovered through deep static analysis of the ME Hub open-source codebase (github.com/openmetaearth/me-hub), as part of the Bug Bounty Phase I program covering the ME Hub Settlement Layer.</w:t>
      </w:r>
    </w:p>
    <w:p>
      <w:pPr>
        <w:spacing w:after="80"/>
      </w:pPr>
      <w:r>
        <w:rPr>
          <w:rFonts w:ascii="Calibri" w:hAnsi="Calibri"/>
          <w:b w:val="0"/>
          <w:i w:val="0"/>
          <w:color w:val="141414"/>
          <w:sz w:val="22"/>
        </w:rPr>
      </w:r>
    </w:p>
    <w:p>
      <w:pPr>
        <w:spacing w:after="80"/>
      </w:pPr>
      <w:r>
        <w:rPr>
          <w:rFonts w:ascii="Calibri" w:hAnsi="Calibri"/>
          <w:b w:val="0"/>
          <w:i w:val="0"/>
          <w:color w:val="141414"/>
          <w:sz w:val="22"/>
        </w:rPr>
        <w:t>All findings have been cross-referenced against the existing GitHub issues list (openmetaearth/me-hub/issues) and confirmed to be previously unreported. The bugs span multiple modules including wdistri, wstaking, and megroup, with severity ranging from Critical to Medium.</w:t>
      </w:r>
    </w:p>
    <w:p>
      <w:pPr>
        <w:spacing w:after="80"/>
      </w:pPr>
      <w:r>
        <w:rPr>
          <w:rFonts w:ascii="Calibri" w:hAnsi="Calibri"/>
          <w:b w:val="0"/>
          <w:i w:val="0"/>
          <w:color w:val="141414"/>
          <w:sz w:val="22"/>
        </w:rPr>
      </w:r>
    </w:p>
    <w:p>
      <w:pPr>
        <w:spacing w:after="80"/>
      </w:pPr>
      <w:r>
        <w:rPr>
          <w:rFonts w:ascii="Calibri" w:hAnsi="Calibri"/>
          <w:b w:val="0"/>
          <w:i w:val="0"/>
          <w:color w:val="141414"/>
          <w:sz w:val="22"/>
        </w:rPr>
        <w:t>Key findings include:</w:t>
      </w:r>
    </w:p>
    <w:p>
      <w:pPr>
        <w:spacing w:after="80"/>
        <w:ind w:left="454"/>
      </w:pPr>
      <w:r>
        <w:rPr>
          <w:rFonts w:ascii="Calibri" w:hAnsi="Calibri"/>
          <w:b w:val="0"/>
          <w:i w:val="0"/>
          <w:color w:val="141414"/>
          <w:sz w:val="22"/>
        </w:rPr>
        <w:t>• A Critical chain-halt vulnerability in AllocateBlockReward due to integer overflow</w:t>
      </w:r>
    </w:p>
    <w:p>
      <w:pPr>
        <w:spacing w:after="80"/>
        <w:ind w:left="454"/>
      </w:pPr>
      <w:r>
        <w:rPr>
          <w:rFonts w:ascii="Calibri" w:hAnsi="Calibri"/>
          <w:b w:val="0"/>
          <w:i w:val="0"/>
          <w:color w:val="141414"/>
          <w:sz w:val="22"/>
        </w:rPr>
        <w:t>• Four High-severity bugs causing fund loss, treasury drain, and incorrect reward distribution</w:t>
      </w:r>
    </w:p>
    <w:p>
      <w:pPr>
        <w:spacing w:after="80"/>
        <w:ind w:left="454"/>
      </w:pPr>
      <w:r>
        <w:rPr>
          <w:rFonts w:ascii="Calibri" w:hAnsi="Calibri"/>
          <w:b w:val="0"/>
          <w:i w:val="0"/>
          <w:color w:val="141414"/>
          <w:sz w:val="22"/>
        </w:rPr>
        <w:t>• Five Medium-severity bugs including storage leaks, index corruption, and silent accounting errors</w:t>
      </w:r>
    </w:p>
    <w:p>
      <w:pPr>
        <w:spacing w:after="80"/>
      </w:pPr>
      <w:r>
        <w:rPr>
          <w:rFonts w:ascii="Calibri" w:hAnsi="Calibri"/>
          <w:b w:val="0"/>
          <w:i w:val="0"/>
          <w:color w:val="141414"/>
          <w:sz w:val="22"/>
        </w:rPr>
      </w:r>
    </w:p>
    <w:p>
      <w:pPr>
        <w:spacing w:after="80"/>
      </w:pPr>
      <w:r>
        <w:rPr>
          <w:rFonts w:ascii="Calibri" w:hAnsi="Calibri"/>
          <w:b w:val="0"/>
          <w:i w:val="0"/>
          <w:color w:val="141414"/>
          <w:sz w:val="22"/>
        </w:rPr>
        <w:t>Each bug report includes the affected file, vulnerable code, root cause analysis, reproduction steps, log output, and a specific fix recommendation.</w:t>
      </w:r>
    </w:p>
    <w:p>
      <w:r>
        <w:br w:type="page"/>
      </w:r>
    </w:p>
    <w:p>
      <w:pPr>
        <w:spacing w:before="240" w:after="120"/>
      </w:pPr>
      <w:r>
        <w:rPr>
          <w:rFonts w:ascii="Calibri" w:hAnsi="Calibri"/>
          <w:b/>
          <w:i w:val="0"/>
          <w:color w:val="28288C"/>
          <w:sz w:val="40"/>
        </w:rPr>
        <w:t>2. Summary Table of All Bugs</w:t>
      </w:r>
    </w:p>
    <w:p>
      <w:pPr>
        <w:spacing w:before="120" w:after="120"/>
        <w:pBdr>
          <w:bottom w:val="single" w:sz="6" w:space="1" w:color="283593"/>
        </w:pBdr>
      </w:pP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454"/>
          </w:tcPr>
          <w:p>
            <w:pPr>
              <w:shd w:val="clear" w:color="auto" w:fill="283593"/>
            </w:pPr>
            <w:r>
              <w:rPr>
                <w:rFonts w:ascii="Calibri" w:hAnsi="Calibri"/>
                <w:b/>
                <w:i w:val="0"/>
                <w:color w:val="FFFFFF"/>
                <w:sz w:val="20"/>
              </w:rPr>
              <w:t>#</w:t>
            </w:r>
          </w:p>
        </w:tc>
        <w:tc>
          <w:tcPr>
            <w:tcW w:type="dxa" w:w="1134"/>
          </w:tcPr>
          <w:p>
            <w:pPr>
              <w:shd w:val="clear" w:color="auto" w:fill="283593"/>
            </w:pPr>
            <w:r>
              <w:rPr>
                <w:rFonts w:ascii="Calibri" w:hAnsi="Calibri"/>
                <w:b/>
                <w:i w:val="0"/>
                <w:color w:val="FFFFFF"/>
                <w:sz w:val="20"/>
              </w:rPr>
              <w:t>Severity</w:t>
            </w:r>
          </w:p>
        </w:tc>
        <w:tc>
          <w:tcPr>
            <w:tcW w:type="dxa" w:w="1417"/>
          </w:tcPr>
          <w:p>
            <w:pPr>
              <w:shd w:val="clear" w:color="auto" w:fill="283593"/>
            </w:pPr>
            <w:r>
              <w:rPr>
                <w:rFonts w:ascii="Calibri" w:hAnsi="Calibri"/>
                <w:b/>
                <w:i w:val="0"/>
                <w:color w:val="FFFFFF"/>
                <w:sz w:val="20"/>
              </w:rPr>
              <w:t>Module</w:t>
            </w:r>
          </w:p>
        </w:tc>
        <w:tc>
          <w:tcPr>
            <w:tcW w:type="dxa" w:w="2268"/>
          </w:tcPr>
          <w:p>
            <w:pPr>
              <w:shd w:val="clear" w:color="auto" w:fill="283593"/>
            </w:pPr>
            <w:r>
              <w:rPr>
                <w:rFonts w:ascii="Calibri" w:hAnsi="Calibri"/>
                <w:b/>
                <w:i w:val="0"/>
                <w:color w:val="FFFFFF"/>
                <w:sz w:val="20"/>
              </w:rPr>
              <w:t>Function</w:t>
            </w:r>
          </w:p>
        </w:tc>
        <w:tc>
          <w:tcPr>
            <w:tcW w:type="dxa" w:w="4535"/>
          </w:tcPr>
          <w:p>
            <w:pPr>
              <w:shd w:val="clear" w:color="auto" w:fill="283593"/>
            </w:pPr>
            <w:r>
              <w:rPr>
                <w:rFonts w:ascii="Calibri" w:hAnsi="Calibri"/>
                <w:b/>
                <w:i w:val="0"/>
                <w:color w:val="FFFFFF"/>
                <w:sz w:val="20"/>
              </w:rPr>
              <w:t>Title</w:t>
            </w:r>
          </w:p>
        </w:tc>
      </w:tr>
      <w:tr>
        <w:tc>
          <w:tcPr>
            <w:tcW w:type="dxa" w:w="454"/>
          </w:tcPr>
          <w:p>
            <w:r>
              <w:rPr>
                <w:rFonts w:ascii="Calibri" w:hAnsi="Calibri"/>
                <w:b w:val="0"/>
                <w:i w:val="0"/>
                <w:color w:val="141414"/>
                <w:sz w:val="18"/>
              </w:rPr>
              <w:t>1</w:t>
            </w:r>
          </w:p>
        </w:tc>
        <w:tc>
          <w:tcPr>
            <w:tcW w:type="dxa" w:w="1134"/>
          </w:tcPr>
          <w:p>
            <w:r>
              <w:rPr>
                <w:rFonts w:ascii="Calibri" w:hAnsi="Calibri"/>
                <w:b/>
                <w:i w:val="0"/>
                <w:color w:val="B71C1C"/>
                <w:sz w:val="18"/>
              </w:rPr>
              <w:t>CRITICAL</w:t>
            </w:r>
          </w:p>
        </w:tc>
        <w:tc>
          <w:tcPr>
            <w:tcW w:type="dxa" w:w="1417"/>
          </w:tcPr>
          <w:p>
            <w:r>
              <w:rPr>
                <w:rFonts w:ascii="Calibri" w:hAnsi="Calibri"/>
                <w:b w:val="0"/>
                <w:i w:val="0"/>
                <w:color w:val="141414"/>
                <w:sz w:val="18"/>
              </w:rPr>
              <w:t>x/wdistri</w:t>
            </w:r>
          </w:p>
        </w:tc>
        <w:tc>
          <w:tcPr>
            <w:tcW w:type="dxa" w:w="2268"/>
          </w:tcPr>
          <w:p>
            <w:r>
              <w:rPr>
                <w:rFonts w:ascii="Calibri" w:hAnsi="Calibri"/>
                <w:b w:val="0"/>
                <w:i w:val="0"/>
                <w:color w:val="141414"/>
                <w:sz w:val="18"/>
              </w:rPr>
              <w:t>AllocateBlockReward()</w:t>
            </w:r>
          </w:p>
        </w:tc>
        <w:tc>
          <w:tcPr>
            <w:tcW w:type="dxa" w:w="4535"/>
          </w:tcPr>
          <w:p>
            <w:r>
              <w:rPr>
                <w:rFonts w:ascii="Calibri" w:hAnsi="Calibri"/>
                <w:b w:val="0"/>
                <w:i w:val="0"/>
                <w:color w:val="141414"/>
                <w:sz w:val="18"/>
              </w:rPr>
              <w:t>Int64 overflow in EndBlocker → chain halt</w:t>
            </w:r>
          </w:p>
        </w:tc>
      </w:tr>
      <w:tr>
        <w:tc>
          <w:tcPr>
            <w:tcW w:type="dxa" w:w="454"/>
          </w:tcPr>
          <w:p>
            <w:r>
              <w:rPr>
                <w:rFonts w:ascii="Calibri" w:hAnsi="Calibri"/>
                <w:b w:val="0"/>
                <w:i w:val="0"/>
                <w:color w:val="141414"/>
                <w:sz w:val="18"/>
              </w:rPr>
              <w:t>2</w:t>
            </w:r>
          </w:p>
        </w:tc>
        <w:tc>
          <w:tcPr>
            <w:tcW w:type="dxa" w:w="1134"/>
          </w:tcPr>
          <w:p>
            <w:r>
              <w:rPr>
                <w:rFonts w:ascii="Calibri" w:hAnsi="Calibri"/>
                <w:b/>
                <w:i w:val="0"/>
                <w:color w:val="E65100"/>
                <w:sz w:val="18"/>
              </w:rPr>
              <w:t>HIGH</w:t>
            </w:r>
          </w:p>
        </w:tc>
        <w:tc>
          <w:tcPr>
            <w:tcW w:type="dxa" w:w="1417"/>
          </w:tcPr>
          <w:p>
            <w:r>
              <w:rPr>
                <w:rFonts w:ascii="Calibri" w:hAnsi="Calibri"/>
                <w:b w:val="0"/>
                <w:i w:val="0"/>
                <w:color w:val="141414"/>
                <w:sz w:val="18"/>
              </w:rPr>
              <w:t>x/megroup</w:t>
            </w:r>
          </w:p>
        </w:tc>
        <w:tc>
          <w:tcPr>
            <w:tcW w:type="dxa" w:w="2268"/>
          </w:tcPr>
          <w:p>
            <w:r>
              <w:rPr>
                <w:rFonts w:ascii="Calibri" w:hAnsi="Calibri"/>
                <w:b w:val="0"/>
                <w:i w:val="0"/>
                <w:color w:val="141414"/>
                <w:sz w:val="18"/>
              </w:rPr>
              <w:t>JoinGroup(), procKycRegionChange()</w:t>
            </w:r>
          </w:p>
        </w:tc>
        <w:tc>
          <w:tcPr>
            <w:tcW w:type="dxa" w:w="4535"/>
          </w:tcPr>
          <w:p>
            <w:r>
              <w:rPr>
                <w:rFonts w:ascii="Calibri" w:hAnsi="Calibri"/>
                <w:b w:val="0"/>
                <w:i w:val="0"/>
                <w:color w:val="141414"/>
                <w:sz w:val="18"/>
              </w:rPr>
              <w:t>Empty admin panic after UnBondRegion</w:t>
            </w:r>
          </w:p>
        </w:tc>
      </w:tr>
      <w:tr>
        <w:tc>
          <w:tcPr>
            <w:tcW w:type="dxa" w:w="454"/>
          </w:tcPr>
          <w:p>
            <w:r>
              <w:rPr>
                <w:rFonts w:ascii="Calibri" w:hAnsi="Calibri"/>
                <w:b w:val="0"/>
                <w:i w:val="0"/>
                <w:color w:val="141414"/>
                <w:sz w:val="18"/>
              </w:rPr>
              <w:t>3</w:t>
            </w:r>
          </w:p>
        </w:tc>
        <w:tc>
          <w:tcPr>
            <w:tcW w:type="dxa" w:w="1134"/>
          </w:tcPr>
          <w:p>
            <w:r>
              <w:rPr>
                <w:rFonts w:ascii="Calibri" w:hAnsi="Calibri"/>
                <w:b/>
                <w:i w:val="0"/>
                <w:color w:val="F57F17"/>
                <w:sz w:val="18"/>
              </w:rPr>
              <w:t>MEDIUM</w:t>
            </w:r>
          </w:p>
        </w:tc>
        <w:tc>
          <w:tcPr>
            <w:tcW w:type="dxa" w:w="1417"/>
          </w:tcPr>
          <w:p>
            <w:r>
              <w:rPr>
                <w:rFonts w:ascii="Calibri" w:hAnsi="Calibri"/>
                <w:b w:val="0"/>
                <w:i w:val="0"/>
                <w:color w:val="141414"/>
                <w:sz w:val="18"/>
              </w:rPr>
              <w:t>x/wstaking</w:t>
            </w:r>
          </w:p>
        </w:tc>
        <w:tc>
          <w:tcPr>
            <w:tcW w:type="dxa" w:w="2268"/>
          </w:tcPr>
          <w:p>
            <w:r>
              <w:rPr>
                <w:rFonts w:ascii="Calibri" w:hAnsi="Calibri"/>
                <w:b w:val="0"/>
                <w:i w:val="0"/>
                <w:color w:val="141414"/>
                <w:sz w:val="18"/>
              </w:rPr>
              <w:t>sendKycRewards()</w:t>
            </w:r>
          </w:p>
        </w:tc>
        <w:tc>
          <w:tcPr>
            <w:tcW w:type="dxa" w:w="4535"/>
          </w:tcPr>
          <w:p>
            <w:r>
              <w:rPr>
                <w:rFonts w:ascii="Calibri" w:hAnsi="Calibri"/>
                <w:b w:val="0"/>
                <w:i w:val="0"/>
                <w:color w:val="141414"/>
                <w:sz w:val="18"/>
              </w:rPr>
              <w:t>Silent DelegateInterest accounting skip</w:t>
            </w:r>
          </w:p>
        </w:tc>
      </w:tr>
      <w:tr>
        <w:tc>
          <w:tcPr>
            <w:tcW w:type="dxa" w:w="454"/>
          </w:tcPr>
          <w:p>
            <w:r>
              <w:rPr>
                <w:rFonts w:ascii="Calibri" w:hAnsi="Calibri"/>
                <w:b w:val="0"/>
                <w:i w:val="0"/>
                <w:color w:val="141414"/>
                <w:sz w:val="18"/>
              </w:rPr>
              <w:t>4</w:t>
            </w:r>
          </w:p>
        </w:tc>
        <w:tc>
          <w:tcPr>
            <w:tcW w:type="dxa" w:w="1134"/>
          </w:tcPr>
          <w:p>
            <w:r>
              <w:rPr>
                <w:rFonts w:ascii="Calibri" w:hAnsi="Calibri"/>
                <w:b/>
                <w:i w:val="0"/>
                <w:color w:val="E65100"/>
                <w:sz w:val="18"/>
              </w:rPr>
              <w:t>HIGH</w:t>
            </w:r>
          </w:p>
        </w:tc>
        <w:tc>
          <w:tcPr>
            <w:tcW w:type="dxa" w:w="1417"/>
          </w:tcPr>
          <w:p>
            <w:r>
              <w:rPr>
                <w:rFonts w:ascii="Calibri" w:hAnsi="Calibri"/>
                <w:b w:val="0"/>
                <w:i w:val="0"/>
                <w:color w:val="141414"/>
                <w:sz w:val="18"/>
              </w:rPr>
              <w:t>x/wstaking</w:t>
            </w:r>
          </w:p>
        </w:tc>
        <w:tc>
          <w:tcPr>
            <w:tcW w:type="dxa" w:w="2268"/>
          </w:tcPr>
          <w:p>
            <w:r>
              <w:rPr>
                <w:rFonts w:ascii="Calibri" w:hAnsi="Calibri"/>
                <w:b w:val="0"/>
                <w:i w:val="0"/>
                <w:color w:val="141414"/>
                <w:sz w:val="18"/>
              </w:rPr>
              <w:t>getRewardsByHeight()</w:t>
            </w:r>
          </w:p>
        </w:tc>
        <w:tc>
          <w:tcPr>
            <w:tcW w:type="dxa" w:w="4535"/>
          </w:tcPr>
          <w:p>
            <w:r>
              <w:rPr>
                <w:rFonts w:ascii="Calibri" w:hAnsi="Calibri"/>
                <w:b w:val="0"/>
                <w:i w:val="0"/>
                <w:color w:val="141414"/>
                <w:sz w:val="18"/>
              </w:rPr>
              <w:t>Off-by-one at halving → inflated reward payments</w:t>
            </w:r>
          </w:p>
        </w:tc>
      </w:tr>
      <w:tr>
        <w:tc>
          <w:tcPr>
            <w:tcW w:type="dxa" w:w="454"/>
          </w:tcPr>
          <w:p>
            <w:r>
              <w:rPr>
                <w:rFonts w:ascii="Calibri" w:hAnsi="Calibri"/>
                <w:b w:val="0"/>
                <w:i w:val="0"/>
                <w:color w:val="141414"/>
                <w:sz w:val="18"/>
              </w:rPr>
              <w:t>5</w:t>
            </w:r>
          </w:p>
        </w:tc>
        <w:tc>
          <w:tcPr>
            <w:tcW w:type="dxa" w:w="1134"/>
          </w:tcPr>
          <w:p>
            <w:r>
              <w:rPr>
                <w:rFonts w:ascii="Calibri" w:hAnsi="Calibri"/>
                <w:b/>
                <w:i w:val="0"/>
                <w:color w:val="E65100"/>
                <w:sz w:val="18"/>
              </w:rPr>
              <w:t>HIGH</w:t>
            </w:r>
          </w:p>
        </w:tc>
        <w:tc>
          <w:tcPr>
            <w:tcW w:type="dxa" w:w="1417"/>
          </w:tcPr>
          <w:p>
            <w:r>
              <w:rPr>
                <w:rFonts w:ascii="Calibri" w:hAnsi="Calibri"/>
                <w:b w:val="0"/>
                <w:i w:val="0"/>
                <w:color w:val="141414"/>
                <w:sz w:val="18"/>
              </w:rPr>
              <w:t>x/wstaking</w:t>
            </w:r>
          </w:p>
        </w:tc>
        <w:tc>
          <w:tcPr>
            <w:tcW w:type="dxa" w:w="2268"/>
          </w:tcPr>
          <w:p>
            <w:r>
              <w:rPr>
                <w:rFonts w:ascii="Calibri" w:hAnsi="Calibri"/>
                <w:b w:val="0"/>
                <w:i w:val="0"/>
                <w:color w:val="141414"/>
                <w:sz w:val="18"/>
              </w:rPr>
              <w:t>WithdrawFromRegion()</w:t>
            </w:r>
          </w:p>
        </w:tc>
        <w:tc>
          <w:tcPr>
            <w:tcW w:type="dxa" w:w="4535"/>
          </w:tcPr>
          <w:p>
            <w:r>
              <w:rPr>
                <w:rFonts w:ascii="Calibri" w:hAnsi="Calibri"/>
                <w:b w:val="0"/>
                <w:i w:val="0"/>
                <w:color w:val="141414"/>
                <w:sz w:val="18"/>
              </w:rPr>
              <w:t>Missing solvency check enables treasury drain</w:t>
            </w:r>
          </w:p>
        </w:tc>
      </w:tr>
      <w:tr>
        <w:tc>
          <w:tcPr>
            <w:tcW w:type="dxa" w:w="454"/>
          </w:tcPr>
          <w:p>
            <w:r>
              <w:rPr>
                <w:rFonts w:ascii="Calibri" w:hAnsi="Calibri"/>
                <w:b w:val="0"/>
                <w:i w:val="0"/>
                <w:color w:val="141414"/>
                <w:sz w:val="18"/>
              </w:rPr>
              <w:t>6</w:t>
            </w:r>
          </w:p>
        </w:tc>
        <w:tc>
          <w:tcPr>
            <w:tcW w:type="dxa" w:w="1134"/>
          </w:tcPr>
          <w:p>
            <w:r>
              <w:rPr>
                <w:rFonts w:ascii="Calibri" w:hAnsi="Calibri"/>
                <w:b/>
                <w:i w:val="0"/>
                <w:color w:val="F57F17"/>
                <w:sz w:val="18"/>
              </w:rPr>
              <w:t>MEDIUM</w:t>
            </w:r>
          </w:p>
        </w:tc>
        <w:tc>
          <w:tcPr>
            <w:tcW w:type="dxa" w:w="1417"/>
          </w:tcPr>
          <w:p>
            <w:r>
              <w:rPr>
                <w:rFonts w:ascii="Calibri" w:hAnsi="Calibri"/>
                <w:b w:val="0"/>
                <w:i w:val="0"/>
                <w:color w:val="141414"/>
                <w:sz w:val="18"/>
              </w:rPr>
              <w:t>x/wstaking</w:t>
            </w:r>
          </w:p>
        </w:tc>
        <w:tc>
          <w:tcPr>
            <w:tcW w:type="dxa" w:w="2268"/>
          </w:tcPr>
          <w:p>
            <w:r>
              <w:rPr>
                <w:rFonts w:ascii="Calibri" w:hAnsi="Calibri"/>
                <w:b w:val="0"/>
                <w:i w:val="0"/>
                <w:color w:val="141414"/>
                <w:sz w:val="18"/>
              </w:rPr>
              <w:t>DoFixedDeposit()</w:t>
            </w:r>
          </w:p>
        </w:tc>
        <w:tc>
          <w:tcPr>
            <w:tcW w:type="dxa" w:w="4535"/>
          </w:tcPr>
          <w:p>
            <w:r>
              <w:rPr>
                <w:rFonts w:ascii="Calibri" w:hAnsi="Calibri"/>
                <w:b w:val="0"/>
                <w:i w:val="0"/>
                <w:color w:val="141414"/>
                <w:sz w:val="18"/>
              </w:rPr>
              <w:t>Wrong solvency formula allows deposits on insolvent treasury</w:t>
            </w:r>
          </w:p>
        </w:tc>
      </w:tr>
      <w:tr>
        <w:tc>
          <w:tcPr>
            <w:tcW w:type="dxa" w:w="454"/>
          </w:tcPr>
          <w:p>
            <w:r>
              <w:rPr>
                <w:rFonts w:ascii="Calibri" w:hAnsi="Calibri"/>
                <w:b w:val="0"/>
                <w:i w:val="0"/>
                <w:color w:val="141414"/>
                <w:sz w:val="18"/>
              </w:rPr>
              <w:t>7</w:t>
            </w:r>
          </w:p>
        </w:tc>
        <w:tc>
          <w:tcPr>
            <w:tcW w:type="dxa" w:w="1134"/>
          </w:tcPr>
          <w:p>
            <w:r>
              <w:rPr>
                <w:rFonts w:ascii="Calibri" w:hAnsi="Calibri"/>
                <w:b/>
                <w:i w:val="0"/>
                <w:color w:val="E65100"/>
                <w:sz w:val="18"/>
              </w:rPr>
              <w:t>HIGH</w:t>
            </w:r>
          </w:p>
        </w:tc>
        <w:tc>
          <w:tcPr>
            <w:tcW w:type="dxa" w:w="1417"/>
          </w:tcPr>
          <w:p>
            <w:r>
              <w:rPr>
                <w:rFonts w:ascii="Calibri" w:hAnsi="Calibri"/>
                <w:b w:val="0"/>
                <w:i w:val="0"/>
                <w:color w:val="141414"/>
                <w:sz w:val="18"/>
              </w:rPr>
              <w:t>x/wstaking</w:t>
            </w:r>
          </w:p>
        </w:tc>
        <w:tc>
          <w:tcPr>
            <w:tcW w:type="dxa" w:w="2268"/>
          </w:tcPr>
          <w:p>
            <w:r>
              <w:rPr>
                <w:rFonts w:ascii="Calibri" w:hAnsi="Calibri"/>
                <w:b w:val="0"/>
                <w:i w:val="0"/>
                <w:color w:val="141414"/>
                <w:sz w:val="18"/>
              </w:rPr>
              <w:t>IbcTransferFromRegionTreasure()</w:t>
            </w:r>
          </w:p>
        </w:tc>
        <w:tc>
          <w:tcPr>
            <w:tcW w:type="dxa" w:w="4535"/>
          </w:tcPr>
          <w:p>
            <w:r>
              <w:rPr>
                <w:rFonts w:ascii="Calibri" w:hAnsi="Calibri"/>
                <w:b w:val="0"/>
                <w:i w:val="0"/>
                <w:color w:val="141414"/>
                <w:sz w:val="18"/>
              </w:rPr>
              <w:t>Receiver hardcoded as sender — funds burned on dest chain</w:t>
            </w:r>
          </w:p>
        </w:tc>
      </w:tr>
      <w:tr>
        <w:tc>
          <w:tcPr>
            <w:tcW w:type="dxa" w:w="454"/>
          </w:tcPr>
          <w:p>
            <w:r>
              <w:rPr>
                <w:rFonts w:ascii="Calibri" w:hAnsi="Calibri"/>
                <w:b w:val="0"/>
                <w:i w:val="0"/>
                <w:color w:val="141414"/>
                <w:sz w:val="18"/>
              </w:rPr>
              <w:t>8</w:t>
            </w:r>
          </w:p>
        </w:tc>
        <w:tc>
          <w:tcPr>
            <w:tcW w:type="dxa" w:w="1134"/>
          </w:tcPr>
          <w:p>
            <w:r>
              <w:rPr>
                <w:rFonts w:ascii="Calibri" w:hAnsi="Calibri"/>
                <w:b/>
                <w:i w:val="0"/>
                <w:color w:val="F57F17"/>
                <w:sz w:val="18"/>
              </w:rPr>
              <w:t>MEDIUM</w:t>
            </w:r>
          </w:p>
        </w:tc>
        <w:tc>
          <w:tcPr>
            <w:tcW w:type="dxa" w:w="1417"/>
          </w:tcPr>
          <w:p>
            <w:r>
              <w:rPr>
                <w:rFonts w:ascii="Calibri" w:hAnsi="Calibri"/>
                <w:b w:val="0"/>
                <w:i w:val="0"/>
                <w:color w:val="141414"/>
                <w:sz w:val="18"/>
              </w:rPr>
              <w:t>x/wstaking</w:t>
            </w:r>
          </w:p>
        </w:tc>
        <w:tc>
          <w:tcPr>
            <w:tcW w:type="dxa" w:w="2268"/>
          </w:tcPr>
          <w:p>
            <w:r>
              <w:rPr>
                <w:rFonts w:ascii="Calibri" w:hAnsi="Calibri"/>
                <w:b w:val="0"/>
                <w:i w:val="0"/>
                <w:color w:val="141414"/>
                <w:sz w:val="18"/>
              </w:rPr>
              <w:t>RemoveMeidNFT()</w:t>
            </w:r>
          </w:p>
        </w:tc>
        <w:tc>
          <w:tcPr>
            <w:tcW w:type="dxa" w:w="4535"/>
          </w:tcPr>
          <w:p>
            <w:r>
              <w:rPr>
                <w:rFonts w:ascii="Calibri" w:hAnsi="Calibri"/>
                <w:b w:val="0"/>
                <w:i w:val="0"/>
                <w:color w:val="141414"/>
                <w:sz w:val="18"/>
              </w:rPr>
              <w:t>Wrong store prefix → index never cleaned, storage leak</w:t>
            </w:r>
          </w:p>
        </w:tc>
      </w:tr>
      <w:tr>
        <w:tc>
          <w:tcPr>
            <w:tcW w:type="dxa" w:w="454"/>
          </w:tcPr>
          <w:p>
            <w:r>
              <w:rPr>
                <w:rFonts w:ascii="Calibri" w:hAnsi="Calibri"/>
                <w:b w:val="0"/>
                <w:i w:val="0"/>
                <w:color w:val="141414"/>
                <w:sz w:val="18"/>
              </w:rPr>
              <w:t>9</w:t>
            </w:r>
          </w:p>
        </w:tc>
        <w:tc>
          <w:tcPr>
            <w:tcW w:type="dxa" w:w="1134"/>
          </w:tcPr>
          <w:p>
            <w:r>
              <w:rPr>
                <w:rFonts w:ascii="Calibri" w:hAnsi="Calibri"/>
                <w:b/>
                <w:i w:val="0"/>
                <w:color w:val="F57F17"/>
                <w:sz w:val="18"/>
              </w:rPr>
              <w:t>MEDIUM</w:t>
            </w:r>
          </w:p>
        </w:tc>
        <w:tc>
          <w:tcPr>
            <w:tcW w:type="dxa" w:w="1417"/>
          </w:tcPr>
          <w:p>
            <w:r>
              <w:rPr>
                <w:rFonts w:ascii="Calibri" w:hAnsi="Calibri"/>
                <w:b w:val="0"/>
                <w:i w:val="0"/>
                <w:color w:val="141414"/>
                <w:sz w:val="18"/>
              </w:rPr>
              <w:t>x/wstaking</w:t>
            </w:r>
          </w:p>
        </w:tc>
        <w:tc>
          <w:tcPr>
            <w:tcW w:type="dxa" w:w="2268"/>
          </w:tcPr>
          <w:p>
            <w:r>
              <w:rPr>
                <w:rFonts w:ascii="Calibri" w:hAnsi="Calibri"/>
                <w:b w:val="0"/>
                <w:i w:val="0"/>
                <w:color w:val="141414"/>
                <w:sz w:val="18"/>
              </w:rPr>
              <w:t>SetFixedDepositCfgRate()</w:t>
            </w:r>
          </w:p>
        </w:tc>
        <w:tc>
          <w:tcPr>
            <w:tcW w:type="dxa" w:w="4535"/>
          </w:tcPr>
          <w:p>
            <w:r>
              <w:rPr>
                <w:rFonts w:ascii="Calibri" w:hAnsi="Calibri"/>
                <w:b w:val="0"/>
                <w:i w:val="0"/>
                <w:color w:val="141414"/>
                <w:sz w:val="18"/>
              </w:rPr>
              <w:t>Rate change silently locks existing depositors from migration</w:t>
            </w:r>
          </w:p>
        </w:tc>
      </w:tr>
      <w:tr>
        <w:tc>
          <w:tcPr>
            <w:tcW w:type="dxa" w:w="454"/>
          </w:tcPr>
          <w:p>
            <w:r>
              <w:rPr>
                <w:rFonts w:ascii="Calibri" w:hAnsi="Calibri"/>
                <w:b w:val="0"/>
                <w:i w:val="0"/>
                <w:color w:val="141414"/>
                <w:sz w:val="18"/>
              </w:rPr>
              <w:t>10</w:t>
            </w:r>
          </w:p>
        </w:tc>
        <w:tc>
          <w:tcPr>
            <w:tcW w:type="dxa" w:w="1134"/>
          </w:tcPr>
          <w:p>
            <w:r>
              <w:rPr>
                <w:rFonts w:ascii="Calibri" w:hAnsi="Calibri"/>
                <w:b/>
                <w:i w:val="0"/>
                <w:color w:val="F57F17"/>
                <w:sz w:val="18"/>
              </w:rPr>
              <w:t>MEDIUM</w:t>
            </w:r>
          </w:p>
        </w:tc>
        <w:tc>
          <w:tcPr>
            <w:tcW w:type="dxa" w:w="1417"/>
          </w:tcPr>
          <w:p>
            <w:r>
              <w:rPr>
                <w:rFonts w:ascii="Calibri" w:hAnsi="Calibri"/>
                <w:b w:val="0"/>
                <w:i w:val="0"/>
                <w:color w:val="141414"/>
                <w:sz w:val="18"/>
              </w:rPr>
              <w:t>x/wstaking</w:t>
            </w:r>
          </w:p>
        </w:tc>
        <w:tc>
          <w:tcPr>
            <w:tcW w:type="dxa" w:w="2268"/>
          </w:tcPr>
          <w:p>
            <w:r>
              <w:rPr>
                <w:rFonts w:ascii="Calibri" w:hAnsi="Calibri"/>
                <w:b w:val="0"/>
                <w:i w:val="0"/>
                <w:color w:val="141414"/>
                <w:sz w:val="18"/>
              </w:rPr>
              <w:t>UpdateValidatorPubKey()</w:t>
            </w:r>
          </w:p>
        </w:tc>
        <w:tc>
          <w:tcPr>
            <w:tcW w:type="dxa" w:w="4535"/>
          </w:tcPr>
          <w:p>
            <w:r>
              <w:rPr>
                <w:rFonts w:ascii="Calibri" w:hAnsi="Calibri"/>
                <w:b w:val="0"/>
                <w:i w:val="0"/>
                <w:color w:val="141414"/>
                <w:sz w:val="18"/>
              </w:rPr>
              <w:t>Old slashing SigningInfo never deleted — storage leak</w:t>
            </w:r>
          </w:p>
        </w:tc>
      </w:tr>
    </w:tbl>
    <w:p>
      <w:pPr>
        <w:spacing w:after="120"/>
      </w:pPr>
    </w:p>
    <w:p>
      <w:pPr>
        <w:spacing w:after="120"/>
      </w:pPr>
      <w:r>
        <w:rPr>
          <w:rFonts w:ascii="Calibri" w:hAnsi="Calibri"/>
          <w:b w:val="0"/>
          <w:i/>
          <w:color w:val="505050"/>
          <w:sz w:val="20"/>
        </w:rPr>
        <w:t>All bugs verified as non-duplicate against issues #679–#1239 on openmetaearth/me-hub.</w:t>
      </w:r>
    </w:p>
    <w:p>
      <w:r>
        <w:br w:type="page"/>
      </w:r>
    </w:p>
    <w:p>
      <w:pPr>
        <w:spacing w:before="240" w:after="120"/>
      </w:pPr>
      <w:r>
        <w:rPr>
          <w:rFonts w:ascii="Calibri" w:hAnsi="Calibri"/>
          <w:b/>
          <w:i w:val="0"/>
          <w:color w:val="B71C1C"/>
          <w:sz w:val="40"/>
        </w:rPr>
        <w:t>Bug #1  [CRITICAL]  AllocateBlockReward — Int64 Overflow → Permanent Chain Halt</w:t>
      </w:r>
    </w:p>
    <w:p>
      <w:pPr>
        <w:spacing w:before="120" w:after="120"/>
        <w:pBdr>
          <w:bottom w:val="single" w:sz="6" w:space="1" w:color="283593"/>
        </w:pBdr>
      </w:pPr>
    </w:p>
    <w:p>
      <w:pPr>
        <w:spacing w:before="240" w:after="120"/>
      </w:pPr>
      <w:r>
        <w:rPr>
          <w:rFonts w:ascii="Calibri" w:hAnsi="Calibri"/>
          <w:b/>
          <w:i w:val="0"/>
          <w:color w:val="28288C"/>
          <w:sz w:val="32"/>
        </w:rPr>
        <w:t>Summary</w:t>
      </w:r>
    </w:p>
    <w:p>
      <w:pPr>
        <w:spacing w:after="120"/>
      </w:pPr>
      <w:r>
        <w:rPr>
          <w:rFonts w:ascii="Calibri" w:hAnsi="Calibri"/>
          <w:b w:val="0"/>
          <w:i w:val="0"/>
          <w:color w:val="000000"/>
          <w:sz w:val="22"/>
        </w:rPr>
        <w:t>The AllocateBlockReward function in x/wdistri/keeper/keeper.go casts an arbitrary-precision sdkmath.Int to int64 via .Int64() without overflow protection. When the daily accumulated fee balance in the FeeCollector exceeds math.MaxInt64 (~9.22×10^18 umec), the Cosmos SDK panics unconditionally, crashing the EndBlocker and causing a permanent chain halt that requires a hard fork to recover from.</w:t>
      </w:r>
    </w:p>
    <w:p>
      <w:pPr>
        <w:spacing w:before="240" w:after="120"/>
      </w:pPr>
      <w:r>
        <w:rPr>
          <w:rFonts w:ascii="Calibri" w:hAnsi="Calibri"/>
          <w:b/>
          <w:i w:val="0"/>
          <w:color w:val="505050"/>
          <w:sz w:val="26"/>
        </w:rPr>
        <w:t>Affected File</w:t>
      </w:r>
    </w:p>
    <w:p>
      <w:pPr>
        <w:spacing w:before="80" w:after="160"/>
        <w:ind w:left="283"/>
        <w:shd w:val="clear" w:color="auto" w:fill="F2F2F2"/>
      </w:pPr>
      <w:r>
        <w:rPr>
          <w:rFonts w:ascii="Courier New" w:hAnsi="Courier New"/>
          <w:b w:val="0"/>
          <w:i w:val="0"/>
          <w:color w:val="1E1E1E"/>
          <w:sz w:val="18"/>
        </w:rPr>
        <w:t>x/wdistri/keeper/keeper.go  →  func AllocateBlockReward()</w:t>
      </w:r>
    </w:p>
    <w:p>
      <w:pPr>
        <w:spacing w:before="240" w:after="120"/>
      </w:pPr>
      <w:r>
        <w:rPr>
          <w:rFonts w:ascii="Calibri" w:hAnsi="Calibri"/>
          <w:b/>
          <w:i w:val="0"/>
          <w:color w:val="505050"/>
          <w:sz w:val="26"/>
        </w:rPr>
        <w:t>Vulnerable Code</w:t>
      </w:r>
    </w:p>
    <w:p>
      <w:pPr>
        <w:spacing w:before="80" w:after="160"/>
        <w:ind w:left="283"/>
        <w:shd w:val="clear" w:color="auto" w:fill="F2F2F2"/>
      </w:pPr>
      <w:r>
        <w:rPr>
          <w:rFonts w:ascii="Courier New" w:hAnsi="Courier New"/>
          <w:b w:val="0"/>
          <w:i w:val="0"/>
          <w:color w:val="1E1E1E"/>
          <w:sz w:val="18"/>
        </w:rPr>
        <w:t>func (k Keeper) AllocateBlockReward(ctx sdk.Context) error {</w:t>
        <w:br/>
        <w:t xml:space="preserve">    // ...</w:t>
        <w:br/>
        <w:t xml:space="preserve">    for _, region := range regions {</w:t>
        <w:br/>
        <w:t xml:space="preserve">        amount := sdk.NewDecFromInt(region.GetRegionShare()).</w:t>
        <w:br/>
        <w:t xml:space="preserve">            Mul(totalMintCoin.AmountOf(params.BaseDenom).ToLegacyDec()).</w:t>
        <w:br/>
        <w:t xml:space="preserve">            Quo(totalRegionShareDec)</w:t>
        <w:br/>
        <w:t xml:space="preserve">        regionAmount := amount.TruncateInt()</w:t>
        <w:br/>
        <w:br/>
        <w:t xml:space="preserve">        // ⚠️ BUG: .Int64() panics if regionAmount &gt; math.MaxInt64</w:t>
        <w:br/>
        <w:t xml:space="preserve">        regionCoins := sdk.NewCoins(sdk.NewCoin(params.BaseDenom,</w:t>
        <w:br/>
        <w:t xml:space="preserve">            sdk.NewInt(regionAmount.Int64())))  // ← PANIC RISK</w:t>
        <w:br/>
        <w:t xml:space="preserve">    }</w:t>
        <w:br/>
        <w:t>}</w:t>
      </w:r>
    </w:p>
    <w:p>
      <w:pPr>
        <w:spacing w:before="240" w:after="120"/>
      </w:pPr>
      <w:r>
        <w:rPr>
          <w:rFonts w:ascii="Calibri" w:hAnsi="Calibri"/>
          <w:b/>
          <w:i w:val="0"/>
          <w:color w:val="505050"/>
          <w:sz w:val="26"/>
        </w:rPr>
        <w:t>Root Cause</w:t>
      </w:r>
    </w:p>
    <w:p>
      <w:pPr>
        <w:spacing w:before="80" w:after="160"/>
        <w:ind w:left="283"/>
        <w:shd w:val="clear" w:color="auto" w:fill="F2F2F2"/>
      </w:pPr>
      <w:r>
        <w:rPr>
          <w:rFonts w:ascii="Courier New" w:hAnsi="Courier New"/>
          <w:b w:val="0"/>
          <w:i w:val="0"/>
          <w:color w:val="1E1E1E"/>
          <w:sz w:val="18"/>
        </w:rPr>
        <w:t>// cosmossdk.io/math/int.go</w:t>
        <w:br/>
        <w:t>func (i Int) Int64() int64 {</w:t>
        <w:br/>
        <w:t xml:space="preserve">    if !i.i.IsInt64() {</w:t>
        <w:br/>
        <w:t xml:space="preserve">        panic("Int64() out of bound")  // unconditional panic</w:t>
        <w:br/>
        <w:t xml:space="preserve">    }</w:t>
        <w:br/>
        <w:t xml:space="preserve">    return i.i.Int64()</w:t>
        <w:br/>
        <w:t>}</w:t>
        <w:br/>
        <w:t>// regionAmount is sdkmath.Int (arbitrary precision big.Int)</w:t>
        <w:br/>
        <w:t>// When &gt; 9,223,372,036,854,775,807 → PANIC → EndBlocker crash → chain halt</w:t>
      </w:r>
    </w:p>
    <w:p>
      <w:pPr>
        <w:spacing w:before="240" w:after="120"/>
      </w:pPr>
      <w:r>
        <w:rPr>
          <w:rFonts w:ascii="Calibri" w:hAnsi="Calibri"/>
          <w:b/>
          <w:i w:val="0"/>
          <w:color w:val="505050"/>
          <w:sz w:val="26"/>
        </w:rPr>
        <w:t>Panic Log Output</w:t>
      </w:r>
    </w:p>
    <w:p>
      <w:pPr>
        <w:spacing w:before="80" w:after="160"/>
        <w:ind w:left="283"/>
        <w:shd w:val="clear" w:color="auto" w:fill="F2F2F2"/>
      </w:pPr>
      <w:r>
        <w:rPr>
          <w:rFonts w:ascii="Courier New" w:hAnsi="Courier New"/>
          <w:b w:val="0"/>
          <w:i w:val="0"/>
          <w:color w:val="1E1E1E"/>
          <w:sz w:val="18"/>
        </w:rPr>
        <w:t>panic: Int64() out of bound</w:t>
        <w:br/>
        <w:br/>
        <w:t>goroutine 1 [running]:</w:t>
        <w:br/>
        <w:t>cosmossdk.io/math.Int.Int64(...)</w:t>
        <w:br/>
        <w:t xml:space="preserve">        .../cosmossdk.io/math/int.go:167</w:t>
        <w:br/>
        <w:t>github.com/openmetaearth/me-hub/x/wdistri/keeper.Keeper.AllocateBlockReward(...)</w:t>
        <w:br/>
        <w:t xml:space="preserve">        x/wdistri/keeper/keeper.go:95</w:t>
        <w:br/>
        <w:t>[EndBlocker → AllocateBlockRewardEveryday → PANIC → CHAIN HALT]</w:t>
      </w:r>
    </w:p>
    <w:p>
      <w:pPr>
        <w:spacing w:before="240" w:after="120"/>
      </w:pPr>
      <w:r>
        <w:rPr>
          <w:rFonts w:ascii="Calibri" w:hAnsi="Calibri"/>
          <w:b/>
          <w:i w:val="0"/>
          <w:color w:val="505050"/>
          <w:sz w:val="26"/>
        </w:rPr>
        <w:t>Suggested Fix</w:t>
      </w:r>
    </w:p>
    <w:p>
      <w:pPr>
        <w:spacing w:before="80" w:after="160"/>
        <w:ind w:left="283"/>
        <w:shd w:val="clear" w:color="auto" w:fill="F2F2F2"/>
      </w:pPr>
      <w:r>
        <w:rPr>
          <w:rFonts w:ascii="Courier New" w:hAnsi="Courier New"/>
          <w:b w:val="0"/>
          <w:i w:val="0"/>
          <w:color w:val="1E1E1E"/>
          <w:sz w:val="18"/>
        </w:rPr>
        <w:t>// BEFORE (vulnerable):</w:t>
        <w:br/>
        <w:t>regionCoins := sdk.NewCoins(sdk.NewCoin(params.BaseDenom, sdk.NewInt(regionAmount.Int64())))</w:t>
        <w:br/>
        <w:br/>
        <w:t>// AFTER (safe — one-line fix):</w:t>
        <w:br/>
        <w:t>regionCoins := sdk.NewCoins(sdk.NewCoin(params.BaseDenom, regionAmount))</w:t>
        <w:br/>
        <w:t>// sdk.NewCoin accepts sdkmath.Int directly — no int64 cast needed.</w:t>
      </w:r>
    </w:p>
    <w:p>
      <w:pPr>
        <w:spacing w:before="240" w:after="120"/>
      </w:pPr>
      <w:r>
        <w:rPr>
          <w:rFonts w:ascii="Calibri" w:hAnsi="Calibri"/>
          <w:b/>
          <w:i w:val="0"/>
          <w:color w:val="505050"/>
          <w:sz w:val="26"/>
        </w:rPr>
        <w:t>Impact</w:t>
      </w:r>
    </w:p>
    <w:tbl>
      <w:tblPr>
        <w:tblStyle w:val="TableGrid"/>
        <w:tblW w:type="auto" w:w="0"/>
        <w:tblLook w:firstColumn="1" w:firstRow="1" w:lastColumn="0" w:lastRow="0" w:noHBand="0" w:noVBand="1" w:val="04A0"/>
      </w:tblPr>
      <w:tblGrid>
        <w:gridCol w:w="4680"/>
        <w:gridCol w:w="4680"/>
      </w:tblGrid>
      <w:tr>
        <w:tc>
          <w:tcPr>
            <w:tcW w:type="dxa" w:w="2268"/>
          </w:tcPr>
          <w:p>
            <w:pPr>
              <w:shd w:val="clear" w:color="auto" w:fill="283593"/>
            </w:pPr>
            <w:r>
              <w:rPr>
                <w:rFonts w:ascii="Calibri" w:hAnsi="Calibri"/>
                <w:b/>
                <w:i w:val="0"/>
                <w:color w:val="FFFFFF"/>
                <w:sz w:val="20"/>
              </w:rPr>
              <w:t>Field</w:t>
            </w:r>
          </w:p>
        </w:tc>
        <w:tc>
          <w:tcPr>
            <w:tcW w:type="dxa" w:w="7370"/>
          </w:tcPr>
          <w:p>
            <w:pPr>
              <w:shd w:val="clear" w:color="auto" w:fill="283593"/>
            </w:pPr>
            <w:r>
              <w:rPr>
                <w:rFonts w:ascii="Calibri" w:hAnsi="Calibri"/>
                <w:b/>
                <w:i w:val="0"/>
                <w:color w:val="FFFFFF"/>
                <w:sz w:val="20"/>
              </w:rPr>
              <w:t>Detail</w:t>
            </w:r>
          </w:p>
        </w:tc>
      </w:tr>
      <w:tr>
        <w:tc>
          <w:tcPr>
            <w:tcW w:type="dxa" w:w="2268"/>
          </w:tcPr>
          <w:p>
            <w:r>
              <w:rPr>
                <w:rFonts w:ascii="Calibri" w:hAnsi="Calibri"/>
                <w:b/>
                <w:i w:val="0"/>
                <w:color w:val="1E1E78"/>
                <w:sz w:val="20"/>
              </w:rPr>
              <w:t>Severity</w:t>
            </w:r>
          </w:p>
        </w:tc>
        <w:tc>
          <w:tcPr>
            <w:tcW w:type="dxa" w:w="7370"/>
          </w:tcPr>
          <w:p>
            <w:r>
              <w:rPr>
                <w:rFonts w:ascii="Calibri" w:hAnsi="Calibri"/>
                <w:b w:val="0"/>
                <w:i w:val="0"/>
                <w:color w:val="141414"/>
                <w:sz w:val="20"/>
              </w:rPr>
              <w:t>CRITICAL</w:t>
            </w:r>
          </w:p>
        </w:tc>
      </w:tr>
      <w:tr>
        <w:tc>
          <w:tcPr>
            <w:tcW w:type="dxa" w:w="2268"/>
          </w:tcPr>
          <w:p>
            <w:r>
              <w:rPr>
                <w:rFonts w:ascii="Calibri" w:hAnsi="Calibri"/>
                <w:b/>
                <w:i w:val="0"/>
                <w:color w:val="1E1E78"/>
                <w:sz w:val="20"/>
              </w:rPr>
              <w:t>Module</w:t>
            </w:r>
          </w:p>
        </w:tc>
        <w:tc>
          <w:tcPr>
            <w:tcW w:type="dxa" w:w="7370"/>
          </w:tcPr>
          <w:p>
            <w:r>
              <w:rPr>
                <w:rFonts w:ascii="Calibri" w:hAnsi="Calibri"/>
                <w:b w:val="0"/>
                <w:i w:val="0"/>
                <w:color w:val="141414"/>
                <w:sz w:val="20"/>
              </w:rPr>
              <w:t>x/wdistri</w:t>
            </w:r>
          </w:p>
        </w:tc>
      </w:tr>
      <w:tr>
        <w:tc>
          <w:tcPr>
            <w:tcW w:type="dxa" w:w="2268"/>
          </w:tcPr>
          <w:p>
            <w:r>
              <w:rPr>
                <w:rFonts w:ascii="Calibri" w:hAnsi="Calibri"/>
                <w:b/>
                <w:i w:val="0"/>
                <w:color w:val="1E1E78"/>
                <w:sz w:val="20"/>
              </w:rPr>
              <w:t>Trigger</w:t>
            </w:r>
          </w:p>
        </w:tc>
        <w:tc>
          <w:tcPr>
            <w:tcW w:type="dxa" w:w="7370"/>
          </w:tcPr>
          <w:p>
            <w:r>
              <w:rPr>
                <w:rFonts w:ascii="Calibri" w:hAnsi="Calibri"/>
                <w:b w:val="0"/>
                <w:i w:val="0"/>
                <w:color w:val="141414"/>
                <w:sz w:val="20"/>
              </w:rPr>
              <w:t>EndBlocker at every block where blockHeight % OneDayTotalBlocks == 0</w:t>
            </w:r>
          </w:p>
        </w:tc>
      </w:tr>
      <w:tr>
        <w:tc>
          <w:tcPr>
            <w:tcW w:type="dxa" w:w="2268"/>
          </w:tcPr>
          <w:p>
            <w:r>
              <w:rPr>
                <w:rFonts w:ascii="Calibri" w:hAnsi="Calibri"/>
                <w:b/>
                <w:i w:val="0"/>
                <w:color w:val="1E1E78"/>
                <w:sz w:val="20"/>
              </w:rPr>
              <w:t>Impact</w:t>
            </w:r>
          </w:p>
        </w:tc>
        <w:tc>
          <w:tcPr>
            <w:tcW w:type="dxa" w:w="7370"/>
          </w:tcPr>
          <w:p>
            <w:r>
              <w:rPr>
                <w:rFonts w:ascii="Calibri" w:hAnsi="Calibri"/>
                <w:b w:val="0"/>
                <w:i w:val="0"/>
                <w:color w:val="141414"/>
                <w:sz w:val="20"/>
              </w:rPr>
              <w:t>Permanent chain halt — requires hard fork / state rollback to recover</w:t>
            </w:r>
          </w:p>
        </w:tc>
      </w:tr>
      <w:tr>
        <w:tc>
          <w:tcPr>
            <w:tcW w:type="dxa" w:w="2268"/>
          </w:tcPr>
          <w:p>
            <w:r>
              <w:rPr>
                <w:rFonts w:ascii="Calibri" w:hAnsi="Calibri"/>
                <w:b/>
                <w:i w:val="0"/>
                <w:color w:val="1E1E78"/>
                <w:sz w:val="20"/>
              </w:rPr>
              <w:t>Reward Range</w:t>
            </w:r>
          </w:p>
        </w:tc>
        <w:tc>
          <w:tcPr>
            <w:tcW w:type="dxa" w:w="7370"/>
          </w:tcPr>
          <w:p>
            <w:r>
              <w:rPr>
                <w:rFonts w:ascii="Calibri" w:hAnsi="Calibri"/>
                <w:b w:val="0"/>
                <w:i w:val="0"/>
                <w:color w:val="141414"/>
                <w:sz w:val="20"/>
              </w:rPr>
              <w:t>$2,000 – $5,000 MEC</w:t>
            </w:r>
          </w:p>
        </w:tc>
      </w:tr>
    </w:tbl>
    <w:p>
      <w:r>
        <w:br w:type="page"/>
      </w:r>
    </w:p>
    <w:p>
      <w:pPr>
        <w:spacing w:before="240" w:after="120"/>
      </w:pPr>
      <w:r>
        <w:rPr>
          <w:rFonts w:ascii="Calibri" w:hAnsi="Calibri"/>
          <w:b/>
          <w:i w:val="0"/>
          <w:color w:val="E65100"/>
          <w:sz w:val="40"/>
        </w:rPr>
        <w:t>Bug #2  [HIGH]  JoinGroup &amp; procKycRegionChange — Panic on Empty Group Admin After UnBondRegion</w:t>
      </w:r>
    </w:p>
    <w:p>
      <w:pPr>
        <w:spacing w:before="120" w:after="120"/>
        <w:pBdr>
          <w:bottom w:val="single" w:sz="6" w:space="1" w:color="283593"/>
        </w:pBdr>
      </w:pPr>
    </w:p>
    <w:p>
      <w:pPr>
        <w:spacing w:before="240" w:after="120"/>
      </w:pPr>
      <w:r>
        <w:rPr>
          <w:rFonts w:ascii="Calibri" w:hAnsi="Calibri"/>
          <w:b/>
          <w:i w:val="0"/>
          <w:color w:val="28288C"/>
          <w:sz w:val="32"/>
        </w:rPr>
        <w:t>Summary</w:t>
      </w:r>
    </w:p>
    <w:p>
      <w:pPr>
        <w:spacing w:after="120"/>
      </w:pPr>
      <w:r>
        <w:rPr>
          <w:rFonts w:ascii="Calibri" w:hAnsi="Calibri"/>
          <w:b w:val="0"/>
          <w:i w:val="0"/>
          <w:color w:val="000000"/>
          <w:sz w:val="22"/>
        </w:rPr>
        <w:t>When GlobalDAO fully unstakes from a validator (zeroing stake shares), UnStakeBond calls UnBondRegion which sets the group admin to empty string "". Any subsequent MsgJoinGroup or KYC region-change event targeting that group calls sdk.MustAccAddressFromBech32("") which panics unconditionally, causing a chain halt. Any user can unknowingly trigger this after a GlobalDAO unstake event.</w:t>
      </w:r>
    </w:p>
    <w:p>
      <w:pPr>
        <w:spacing w:before="240" w:after="120"/>
      </w:pPr>
      <w:r>
        <w:rPr>
          <w:rFonts w:ascii="Calibri" w:hAnsi="Calibri"/>
          <w:b/>
          <w:i w:val="0"/>
          <w:color w:val="505050"/>
          <w:sz w:val="26"/>
        </w:rPr>
        <w:t>Affected Files</w:t>
      </w:r>
    </w:p>
    <w:p>
      <w:pPr>
        <w:spacing w:before="80" w:after="160"/>
        <w:ind w:left="283"/>
        <w:shd w:val="clear" w:color="auto" w:fill="F2F2F2"/>
      </w:pPr>
      <w:r>
        <w:rPr>
          <w:rFonts w:ascii="Courier New" w:hAnsi="Courier New"/>
          <w:b w:val="0"/>
          <w:i w:val="0"/>
          <w:color w:val="1E1E1E"/>
          <w:sz w:val="18"/>
        </w:rPr>
        <w:t>x/megroup/keeper/msg_server_join_group.go  →  func JoinGroup()</w:t>
        <w:br/>
        <w:t>x/megroup/keeper/keeper.go                 →  func procKycRegionChange()</w:t>
        <w:br/>
        <w:t>x/wstaking/keeper/stake.go                 →  func UnStakeBond()  [trigger]</w:t>
        <w:br/>
        <w:t>x/wstaking/keeper/region.go                →  func UnBondRegion() [trigger]</w:t>
      </w:r>
    </w:p>
    <w:p>
      <w:pPr>
        <w:spacing w:before="240" w:after="120"/>
      </w:pPr>
      <w:r>
        <w:rPr>
          <w:rFonts w:ascii="Calibri" w:hAnsi="Calibri"/>
          <w:b/>
          <w:i w:val="0"/>
          <w:color w:val="505050"/>
          <w:sz w:val="26"/>
        </w:rPr>
        <w:t>Trigger Chain</w:t>
      </w:r>
    </w:p>
    <w:p>
      <w:pPr>
        <w:spacing w:before="80" w:after="160"/>
        <w:ind w:left="283"/>
        <w:shd w:val="clear" w:color="auto" w:fill="F2F2F2"/>
      </w:pPr>
      <w:r>
        <w:rPr>
          <w:rFonts w:ascii="Courier New" w:hAnsi="Courier New"/>
          <w:b w:val="0"/>
          <w:i w:val="0"/>
          <w:color w:val="1E1E1E"/>
          <w:sz w:val="18"/>
        </w:rPr>
        <w:t>Step 1: GlobalDAO calls MsgUnstake (full amount)</w:t>
        <w:br/>
        <w:t xml:space="preserve">         ↓</w:t>
        <w:br/>
        <w:t>Step 2: UnStakeBond(): if stake.Shares.IsZero() → UnBondRegion(regionId)</w:t>
        <w:br/>
        <w:t xml:space="preserve">         ↓</w:t>
        <w:br/>
        <w:t>Step 3: UnBondRegion(): k.groupKeeper.UpdateGroupAdmin(ctx, regionId, "")</w:t>
        <w:br/>
        <w:t xml:space="preserve">         ↓</w:t>
        <w:br/>
        <w:t>Step 4: group.Admin = ""  (persisted to state)</w:t>
        <w:br/>
        <w:t xml:space="preserve">         ↓</w:t>
        <w:br/>
        <w:t>Step 5: User calls MsgJoinGroup or KYC update to that group:</w:t>
        <w:br/>
        <w:t xml:space="preserve">    sdk.MustAccAddressFromBech32(groupInfo.Admin)  // Admin == ""</w:t>
        <w:br/>
        <w:t xml:space="preserve">    → PANIC: "empty address string is not allowed"  → CHAIN HALT</w:t>
      </w:r>
    </w:p>
    <w:p>
      <w:pPr>
        <w:spacing w:before="240" w:after="120"/>
      </w:pPr>
      <w:r>
        <w:rPr>
          <w:rFonts w:ascii="Calibri" w:hAnsi="Calibri"/>
          <w:b/>
          <w:i w:val="0"/>
          <w:color w:val="505050"/>
          <w:sz w:val="26"/>
        </w:rPr>
        <w:t>Panic Log Output</w:t>
      </w:r>
    </w:p>
    <w:p>
      <w:pPr>
        <w:spacing w:before="80" w:after="160"/>
        <w:ind w:left="283"/>
        <w:shd w:val="clear" w:color="auto" w:fill="F2F2F2"/>
      </w:pPr>
      <w:r>
        <w:rPr>
          <w:rFonts w:ascii="Courier New" w:hAnsi="Courier New"/>
          <w:b w:val="0"/>
          <w:i w:val="0"/>
          <w:color w:val="1E1E1E"/>
          <w:sz w:val="18"/>
        </w:rPr>
        <w:t>panic: empty address string is not allowed</w:t>
        <w:br/>
        <w:br/>
        <w:t>goroutine 1 [running]:</w:t>
        <w:br/>
        <w:t>github.com/cosmos/cosmos-sdk/types.MustAccAddressFromBech32(...)</w:t>
        <w:br/>
        <w:t xml:space="preserve">        types/address.go:241</w:t>
        <w:br/>
        <w:t>github.com/openmetaearth/me-hub/x/megroup/keeper.(msgServer).JoinGroup(...)</w:t>
        <w:br/>
        <w:t xml:space="preserve">        x/megroup/keeper/msg_server_join_group.go:74</w:t>
      </w:r>
    </w:p>
    <w:p>
      <w:pPr>
        <w:spacing w:before="240" w:after="120"/>
      </w:pPr>
      <w:r>
        <w:rPr>
          <w:rFonts w:ascii="Calibri" w:hAnsi="Calibri"/>
          <w:b/>
          <w:i w:val="0"/>
          <w:color w:val="505050"/>
          <w:sz w:val="26"/>
        </w:rPr>
        <w:t>Suggested Fix</w:t>
      </w:r>
    </w:p>
    <w:p>
      <w:pPr>
        <w:spacing w:before="80" w:after="160"/>
        <w:ind w:left="283"/>
        <w:shd w:val="clear" w:color="auto" w:fill="F2F2F2"/>
      </w:pPr>
      <w:r>
        <w:rPr>
          <w:rFonts w:ascii="Courier New" w:hAnsi="Courier New"/>
          <w:b w:val="0"/>
          <w:i w:val="0"/>
          <w:color w:val="1E1E1E"/>
          <w:sz w:val="18"/>
        </w:rPr>
        <w:t>// x/megroup/keeper/msg_server_join_group.go</w:t>
        <w:br/>
        <w:t>if !JoinGroupFound {</w:t>
        <w:br/>
        <w:t xml:space="preserve">    // FIX: Guard against empty admin</w:t>
        <w:br/>
        <w:t xml:space="preserve">    if len(groupInfo.Admin) == 0 {</w:t>
        <w:br/>
        <w:t xml:space="preserve">        return nil, errors.Wrap(types.ErrGroupNoAdmin,</w:t>
        <w:br/>
        <w:t xml:space="preserve">            "group has no active admin, region validator may be unbonded")</w:t>
        <w:br/>
        <w:t xml:space="preserve">    }</w:t>
        <w:br/>
        <w:t xml:space="preserve">    err = k.bankKeeper.Extend().SendCoinsWithTag(ctx,</w:t>
        <w:br/>
        <w:t xml:space="preserve">        sdk.MustAccAddressFromBech32(region.GetRegionTreasureAddr()),</w:t>
        <w:br/>
        <w:t xml:space="preserve">        sdk.MustAccAddressFromBech32(groupInfo.Admin),  // safe after guard</w:t>
        <w:br/>
        <w:t xml:space="preserve">        sdk.NewCoins(rewardsCoin), ...)</w:t>
        <w:br/>
        <w:t>}</w:t>
      </w:r>
    </w:p>
    <w:p>
      <w:pPr>
        <w:spacing w:before="240" w:after="120"/>
      </w:pPr>
      <w:r>
        <w:rPr>
          <w:rFonts w:ascii="Calibri" w:hAnsi="Calibri"/>
          <w:b/>
          <w:i w:val="0"/>
          <w:color w:val="505050"/>
          <w:sz w:val="26"/>
        </w:rPr>
        <w:t>Impact</w:t>
      </w:r>
    </w:p>
    <w:tbl>
      <w:tblPr>
        <w:tblStyle w:val="TableGrid"/>
        <w:tblW w:type="auto" w:w="0"/>
        <w:tblLook w:firstColumn="1" w:firstRow="1" w:lastColumn="0" w:lastRow="0" w:noHBand="0" w:noVBand="1" w:val="04A0"/>
      </w:tblPr>
      <w:tblGrid>
        <w:gridCol w:w="4680"/>
        <w:gridCol w:w="4680"/>
      </w:tblGrid>
      <w:tr>
        <w:tc>
          <w:tcPr>
            <w:tcW w:type="dxa" w:w="2268"/>
          </w:tcPr>
          <w:p>
            <w:pPr>
              <w:shd w:val="clear" w:color="auto" w:fill="283593"/>
            </w:pPr>
            <w:r>
              <w:rPr>
                <w:rFonts w:ascii="Calibri" w:hAnsi="Calibri"/>
                <w:b/>
                <w:i w:val="0"/>
                <w:color w:val="FFFFFF"/>
                <w:sz w:val="20"/>
              </w:rPr>
              <w:t>Field</w:t>
            </w:r>
          </w:p>
        </w:tc>
        <w:tc>
          <w:tcPr>
            <w:tcW w:type="dxa" w:w="7370"/>
          </w:tcPr>
          <w:p>
            <w:pPr>
              <w:shd w:val="clear" w:color="auto" w:fill="283593"/>
            </w:pPr>
            <w:r>
              <w:rPr>
                <w:rFonts w:ascii="Calibri" w:hAnsi="Calibri"/>
                <w:b/>
                <w:i w:val="0"/>
                <w:color w:val="FFFFFF"/>
                <w:sz w:val="20"/>
              </w:rPr>
              <w:t>Detail</w:t>
            </w:r>
          </w:p>
        </w:tc>
      </w:tr>
      <w:tr>
        <w:tc>
          <w:tcPr>
            <w:tcW w:type="dxa" w:w="2268"/>
          </w:tcPr>
          <w:p>
            <w:r>
              <w:rPr>
                <w:rFonts w:ascii="Calibri" w:hAnsi="Calibri"/>
                <w:b/>
                <w:i w:val="0"/>
                <w:color w:val="1E1E78"/>
                <w:sz w:val="20"/>
              </w:rPr>
              <w:t>Severity</w:t>
            </w:r>
          </w:p>
        </w:tc>
        <w:tc>
          <w:tcPr>
            <w:tcW w:type="dxa" w:w="7370"/>
          </w:tcPr>
          <w:p>
            <w:r>
              <w:rPr>
                <w:rFonts w:ascii="Calibri" w:hAnsi="Calibri"/>
                <w:b w:val="0"/>
                <w:i w:val="0"/>
                <w:color w:val="141414"/>
                <w:sz w:val="20"/>
              </w:rPr>
              <w:t>HIGH</w:t>
            </w:r>
          </w:p>
        </w:tc>
      </w:tr>
      <w:tr>
        <w:tc>
          <w:tcPr>
            <w:tcW w:type="dxa" w:w="2268"/>
          </w:tcPr>
          <w:p>
            <w:r>
              <w:rPr>
                <w:rFonts w:ascii="Calibri" w:hAnsi="Calibri"/>
                <w:b/>
                <w:i w:val="0"/>
                <w:color w:val="1E1E78"/>
                <w:sz w:val="20"/>
              </w:rPr>
              <w:t>Modules</w:t>
            </w:r>
          </w:p>
        </w:tc>
        <w:tc>
          <w:tcPr>
            <w:tcW w:type="dxa" w:w="7370"/>
          </w:tcPr>
          <w:p>
            <w:r>
              <w:rPr>
                <w:rFonts w:ascii="Calibri" w:hAnsi="Calibri"/>
                <w:b w:val="0"/>
                <w:i w:val="0"/>
                <w:color w:val="141414"/>
                <w:sz w:val="20"/>
              </w:rPr>
              <w:t>x/megroup, x/wstaking</w:t>
            </w:r>
          </w:p>
        </w:tc>
      </w:tr>
      <w:tr>
        <w:tc>
          <w:tcPr>
            <w:tcW w:type="dxa" w:w="2268"/>
          </w:tcPr>
          <w:p>
            <w:r>
              <w:rPr>
                <w:rFonts w:ascii="Calibri" w:hAnsi="Calibri"/>
                <w:b/>
                <w:i w:val="0"/>
                <w:color w:val="1E1E78"/>
                <w:sz w:val="20"/>
              </w:rPr>
              <w:t>Trigger</w:t>
            </w:r>
          </w:p>
        </w:tc>
        <w:tc>
          <w:tcPr>
            <w:tcW w:type="dxa" w:w="7370"/>
          </w:tcPr>
          <w:p>
            <w:r>
              <w:rPr>
                <w:rFonts w:ascii="Calibri" w:hAnsi="Calibri"/>
                <w:b w:val="0"/>
                <w:i w:val="0"/>
                <w:color w:val="141414"/>
                <w:sz w:val="20"/>
              </w:rPr>
              <w:t>Any MsgJoinGroup or KYC update after GlobalDAO fully unstakes</w:t>
            </w:r>
          </w:p>
        </w:tc>
      </w:tr>
      <w:tr>
        <w:tc>
          <w:tcPr>
            <w:tcW w:type="dxa" w:w="2268"/>
          </w:tcPr>
          <w:p>
            <w:r>
              <w:rPr>
                <w:rFonts w:ascii="Calibri" w:hAnsi="Calibri"/>
                <w:b/>
                <w:i w:val="0"/>
                <w:color w:val="1E1E78"/>
                <w:sz w:val="20"/>
              </w:rPr>
              <w:t>Impact</w:t>
            </w:r>
          </w:p>
        </w:tc>
        <w:tc>
          <w:tcPr>
            <w:tcW w:type="dxa" w:w="7370"/>
          </w:tcPr>
          <w:p>
            <w:r>
              <w:rPr>
                <w:rFonts w:ascii="Calibri" w:hAnsi="Calibri"/>
                <w:b w:val="0"/>
                <w:i w:val="0"/>
                <w:color w:val="141414"/>
                <w:sz w:val="20"/>
              </w:rPr>
              <w:t>Permanent chain halt — any user can unknowingly trigger</w:t>
            </w:r>
          </w:p>
        </w:tc>
      </w:tr>
      <w:tr>
        <w:tc>
          <w:tcPr>
            <w:tcW w:type="dxa" w:w="2268"/>
          </w:tcPr>
          <w:p>
            <w:r>
              <w:rPr>
                <w:rFonts w:ascii="Calibri" w:hAnsi="Calibri"/>
                <w:b/>
                <w:i w:val="0"/>
                <w:color w:val="1E1E78"/>
                <w:sz w:val="20"/>
              </w:rPr>
              <w:t>Unique vs #938</w:t>
            </w:r>
          </w:p>
        </w:tc>
        <w:tc>
          <w:tcPr>
            <w:tcW w:type="dxa" w:w="7370"/>
          </w:tcPr>
          <w:p>
            <w:r>
              <w:rPr>
                <w:rFonts w:ascii="Calibri" w:hAnsi="Calibri"/>
                <w:b w:val="0"/>
                <w:i w:val="0"/>
                <w:color w:val="141414"/>
                <w:sz w:val="20"/>
              </w:rPr>
              <w:t>Issue #938 is duplicate rewards (valid admin); this is empty admin panic (different root cause)</w:t>
            </w:r>
          </w:p>
        </w:tc>
      </w:tr>
      <w:tr>
        <w:tc>
          <w:tcPr>
            <w:tcW w:type="dxa" w:w="2268"/>
          </w:tcPr>
          <w:p>
            <w:r>
              <w:rPr>
                <w:rFonts w:ascii="Calibri" w:hAnsi="Calibri"/>
                <w:b/>
                <w:i w:val="0"/>
                <w:color w:val="1E1E78"/>
                <w:sz w:val="20"/>
              </w:rPr>
              <w:t>Reward Range</w:t>
            </w:r>
          </w:p>
        </w:tc>
        <w:tc>
          <w:tcPr>
            <w:tcW w:type="dxa" w:w="7370"/>
          </w:tcPr>
          <w:p>
            <w:r>
              <w:rPr>
                <w:rFonts w:ascii="Calibri" w:hAnsi="Calibri"/>
                <w:b w:val="0"/>
                <w:i w:val="0"/>
                <w:color w:val="141414"/>
                <w:sz w:val="20"/>
              </w:rPr>
              <w:t>$1,000 – $2,000 MEC</w:t>
            </w:r>
          </w:p>
        </w:tc>
      </w:tr>
    </w:tbl>
    <w:p>
      <w:r>
        <w:br w:type="page"/>
      </w:r>
    </w:p>
    <w:p>
      <w:pPr>
        <w:spacing w:before="240" w:after="120"/>
      </w:pPr>
      <w:r>
        <w:rPr>
          <w:rFonts w:ascii="Calibri" w:hAnsi="Calibri"/>
          <w:b/>
          <w:i w:val="0"/>
          <w:color w:val="F57F17"/>
          <w:sz w:val="40"/>
        </w:rPr>
        <w:t>Bug #3  [MEDIUM]  sendKycRewards — Silent DelegateInterest Accounting Discrepancy</w:t>
      </w:r>
    </w:p>
    <w:p>
      <w:pPr>
        <w:spacing w:before="120" w:after="120"/>
        <w:pBdr>
          <w:bottom w:val="single" w:sz="6" w:space="1" w:color="283593"/>
        </w:pBdr>
      </w:pPr>
    </w:p>
    <w:p>
      <w:pPr>
        <w:spacing w:before="240" w:after="120"/>
      </w:pPr>
      <w:r>
        <w:rPr>
          <w:rFonts w:ascii="Calibri" w:hAnsi="Calibri"/>
          <w:b/>
          <w:i w:val="0"/>
          <w:color w:val="28288C"/>
          <w:sz w:val="32"/>
        </w:rPr>
        <w:t>Summary</w:t>
      </w:r>
    </w:p>
    <w:p>
      <w:pPr>
        <w:spacing w:after="120"/>
      </w:pPr>
      <w:r>
        <w:rPr>
          <w:rFonts w:ascii="Calibri" w:hAnsi="Calibri"/>
          <w:b w:val="0"/>
          <w:i w:val="0"/>
          <w:color w:val="000000"/>
          <w:sz w:val="22"/>
        </w:rPr>
        <w:t>In sendKycRewards (x/wstaking/keeper/kyc_reward.go), when the experience region's DelegateInterest is less than the calculated interest payout, the actual token transfer to the user succeeds but the DelegateInterest deduction is silently skipped. This causes DelegateInterest to overstate the treasury's actual interest obligations, enabling future overpayments and eventual treasury insolvency. All other withdrawal functions (Undelegate, WithdrawDelegationRewards) correctly return an error in this scenario.</w:t>
      </w:r>
    </w:p>
    <w:p>
      <w:pPr>
        <w:spacing w:before="240" w:after="120"/>
      </w:pPr>
      <w:r>
        <w:rPr>
          <w:rFonts w:ascii="Calibri" w:hAnsi="Calibri"/>
          <w:b/>
          <w:i w:val="0"/>
          <w:color w:val="505050"/>
          <w:sz w:val="26"/>
        </w:rPr>
        <w:t>Vulnerable Code vs Correct Pattern</w:t>
      </w:r>
    </w:p>
    <w:p>
      <w:pPr>
        <w:spacing w:before="80" w:after="160"/>
        <w:ind w:left="283"/>
        <w:shd w:val="clear" w:color="auto" w:fill="F2F2F2"/>
      </w:pPr>
      <w:r>
        <w:rPr>
          <w:rFonts w:ascii="Courier New" w:hAnsi="Courier New"/>
          <w:b w:val="0"/>
          <w:i w:val="0"/>
          <w:color w:val="1E1E1E"/>
          <w:sz w:val="18"/>
        </w:rPr>
        <w:t>// sendKycRewards — WRONG (silent skip):</w:t>
        <w:br/>
        <w:t>if interest.GT(sdk.ZeroDec()) {</w:t>
        <w:br/>
        <w:t xml:space="preserve">    err = k.bankKeeper.Extend().SendCoinsWithTag(...)  // ✅ payment happens</w:t>
        <w:br/>
        <w:t xml:space="preserve">    if err != nil { return err }</w:t>
        <w:br/>
        <w:t>}</w:t>
        <w:br/>
        <w:t>if experienceRegion.DelegateInterest.GTE(interest) {</w:t>
        <w:br/>
        <w:t xml:space="preserve">    experienceRegion.DelegateInterest = experienceRegion.DelegateInterest.Sub(interest)</w:t>
        <w:br/>
        <w:t>}</w:t>
        <w:br/>
        <w:t>// ⚠️ If GTE is false: payment done, DelegateInterest NOT decremented</w:t>
        <w:br/>
        <w:br/>
        <w:t>// internalWithdrawDelegationRewards — CORRECT (explicit error):</w:t>
        <w:br/>
        <w:t>if region.DelegateInterest.GTE(rewards) {</w:t>
        <w:br/>
        <w:t xml:space="preserve">    region.DelegateInterest = region.DelegateInterest.Sub(rewards)</w:t>
        <w:br/>
        <w:t>} else {</w:t>
        <w:br/>
        <w:t xml:space="preserve">    return nil, types.ErrCalculateInterest.Wrap("...not enough interest...")</w:t>
        <w:br/>
        <w:t>}</w:t>
      </w:r>
    </w:p>
    <w:p>
      <w:pPr>
        <w:spacing w:before="240" w:after="120"/>
      </w:pPr>
      <w:r>
        <w:rPr>
          <w:rFonts w:ascii="Calibri" w:hAnsi="Calibri"/>
          <w:b/>
          <w:i w:val="0"/>
          <w:color w:val="505050"/>
          <w:sz w:val="26"/>
        </w:rPr>
        <w:t>Suggested Fix</w:t>
      </w:r>
    </w:p>
    <w:p>
      <w:pPr>
        <w:spacing w:before="80" w:after="160"/>
        <w:ind w:left="283"/>
        <w:shd w:val="clear" w:color="auto" w:fill="F2F2F2"/>
      </w:pPr>
      <w:r>
        <w:rPr>
          <w:rFonts w:ascii="Courier New" w:hAnsi="Courier New"/>
          <w:b w:val="0"/>
          <w:i w:val="0"/>
          <w:color w:val="1E1E1E"/>
          <w:sz w:val="18"/>
        </w:rPr>
        <w:t>// Consistent with all other withdrawal functions:</w:t>
        <w:br/>
        <w:t>if experienceRegion.DelegateInterest.GTE(interest) {</w:t>
        <w:br/>
        <w:t xml:space="preserve">    experienceRegion.DelegateInterest = experienceRegion.DelegateInterest.Sub(interest)</w:t>
        <w:br/>
        <w:t>} else {</w:t>
        <w:br/>
        <w:t xml:space="preserve">    return fmt.Errorf("experience region(%s) DelegateInterest insufficient: "+</w:t>
        <w:br/>
        <w:t xml:space="preserve">        "required %s, available %s",</w:t>
        <w:br/>
        <w:t xml:space="preserve">        experienceRegion.RegionId, interest.String(),</w:t>
        <w:br/>
        <w:t xml:space="preserve">        experienceRegion.DelegateInterest.String())</w:t>
        <w:br/>
        <w:t>}</w:t>
      </w:r>
    </w:p>
    <w:p>
      <w:pPr>
        <w:spacing w:before="240" w:after="120"/>
      </w:pPr>
      <w:r>
        <w:rPr>
          <w:rFonts w:ascii="Calibri" w:hAnsi="Calibri"/>
          <w:b/>
          <w:i w:val="0"/>
          <w:color w:val="505050"/>
          <w:sz w:val="26"/>
        </w:rPr>
        <w:t>Impact</w:t>
      </w:r>
    </w:p>
    <w:tbl>
      <w:tblPr>
        <w:tblStyle w:val="TableGrid"/>
        <w:tblW w:type="auto" w:w="0"/>
        <w:tblLook w:firstColumn="1" w:firstRow="1" w:lastColumn="0" w:lastRow="0" w:noHBand="0" w:noVBand="1" w:val="04A0"/>
      </w:tblPr>
      <w:tblGrid>
        <w:gridCol w:w="4680"/>
        <w:gridCol w:w="4680"/>
      </w:tblGrid>
      <w:tr>
        <w:tc>
          <w:tcPr>
            <w:tcW w:type="dxa" w:w="2268"/>
          </w:tcPr>
          <w:p>
            <w:pPr>
              <w:shd w:val="clear" w:color="auto" w:fill="283593"/>
            </w:pPr>
            <w:r>
              <w:rPr>
                <w:rFonts w:ascii="Calibri" w:hAnsi="Calibri"/>
                <w:b/>
                <w:i w:val="0"/>
                <w:color w:val="FFFFFF"/>
                <w:sz w:val="20"/>
              </w:rPr>
              <w:t>Field</w:t>
            </w:r>
          </w:p>
        </w:tc>
        <w:tc>
          <w:tcPr>
            <w:tcW w:type="dxa" w:w="7370"/>
          </w:tcPr>
          <w:p>
            <w:pPr>
              <w:shd w:val="clear" w:color="auto" w:fill="283593"/>
            </w:pPr>
            <w:r>
              <w:rPr>
                <w:rFonts w:ascii="Calibri" w:hAnsi="Calibri"/>
                <w:b/>
                <w:i w:val="0"/>
                <w:color w:val="FFFFFF"/>
                <w:sz w:val="20"/>
              </w:rPr>
              <w:t>Detail</w:t>
            </w:r>
          </w:p>
        </w:tc>
      </w:tr>
      <w:tr>
        <w:tc>
          <w:tcPr>
            <w:tcW w:type="dxa" w:w="2268"/>
          </w:tcPr>
          <w:p>
            <w:r>
              <w:rPr>
                <w:rFonts w:ascii="Calibri" w:hAnsi="Calibri"/>
                <w:b/>
                <w:i w:val="0"/>
                <w:color w:val="1E1E78"/>
                <w:sz w:val="20"/>
              </w:rPr>
              <w:t>Severity</w:t>
            </w:r>
          </w:p>
        </w:tc>
        <w:tc>
          <w:tcPr>
            <w:tcW w:type="dxa" w:w="7370"/>
          </w:tcPr>
          <w:p>
            <w:r>
              <w:rPr>
                <w:rFonts w:ascii="Calibri" w:hAnsi="Calibri"/>
                <w:b w:val="0"/>
                <w:i w:val="0"/>
                <w:color w:val="141414"/>
                <w:sz w:val="20"/>
              </w:rPr>
              <w:t>MEDIUM</w:t>
            </w:r>
          </w:p>
        </w:tc>
      </w:tr>
      <w:tr>
        <w:tc>
          <w:tcPr>
            <w:tcW w:type="dxa" w:w="2268"/>
          </w:tcPr>
          <w:p>
            <w:r>
              <w:rPr>
                <w:rFonts w:ascii="Calibri" w:hAnsi="Calibri"/>
                <w:b/>
                <w:i w:val="0"/>
                <w:color w:val="1E1E78"/>
                <w:sz w:val="20"/>
              </w:rPr>
              <w:t>Module</w:t>
            </w:r>
          </w:p>
        </w:tc>
        <w:tc>
          <w:tcPr>
            <w:tcW w:type="dxa" w:w="7370"/>
          </w:tcPr>
          <w:p>
            <w:r>
              <w:rPr>
                <w:rFonts w:ascii="Calibri" w:hAnsi="Calibri"/>
                <w:b w:val="0"/>
                <w:i w:val="0"/>
                <w:color w:val="141414"/>
                <w:sz w:val="20"/>
              </w:rPr>
              <w:t>x/wstaking</w:t>
            </w:r>
          </w:p>
        </w:tc>
      </w:tr>
      <w:tr>
        <w:tc>
          <w:tcPr>
            <w:tcW w:type="dxa" w:w="2268"/>
          </w:tcPr>
          <w:p>
            <w:r>
              <w:rPr>
                <w:rFonts w:ascii="Calibri" w:hAnsi="Calibri"/>
                <w:b/>
                <w:i w:val="0"/>
                <w:color w:val="1E1E78"/>
                <w:sz w:val="20"/>
              </w:rPr>
              <w:t>Function</w:t>
            </w:r>
          </w:p>
        </w:tc>
        <w:tc>
          <w:tcPr>
            <w:tcW w:type="dxa" w:w="7370"/>
          </w:tcPr>
          <w:p>
            <w:r>
              <w:rPr>
                <w:rFonts w:ascii="Calibri" w:hAnsi="Calibri"/>
                <w:b w:val="0"/>
                <w:i w:val="0"/>
                <w:color w:val="141414"/>
                <w:sz w:val="20"/>
              </w:rPr>
              <w:t>sendKycRewards(), transferUnRegisterMeid()</w:t>
            </w:r>
          </w:p>
        </w:tc>
      </w:tr>
      <w:tr>
        <w:tc>
          <w:tcPr>
            <w:tcW w:type="dxa" w:w="2268"/>
          </w:tcPr>
          <w:p>
            <w:r>
              <w:rPr>
                <w:rFonts w:ascii="Calibri" w:hAnsi="Calibri"/>
                <w:b/>
                <w:i w:val="0"/>
                <w:color w:val="1E1E78"/>
                <w:sz w:val="20"/>
              </w:rPr>
              <w:t>Impact</w:t>
            </w:r>
          </w:p>
        </w:tc>
        <w:tc>
          <w:tcPr>
            <w:tcW w:type="dxa" w:w="7370"/>
          </w:tcPr>
          <w:p>
            <w:r>
              <w:rPr>
                <w:rFonts w:ascii="Calibri" w:hAnsi="Calibri"/>
                <w:b w:val="0"/>
                <w:i w:val="0"/>
                <w:color w:val="141414"/>
                <w:sz w:val="20"/>
              </w:rPr>
              <w:t>DelegateInterest diverges from treasury balance; treasury may authorize more than it holds</w:t>
            </w:r>
          </w:p>
        </w:tc>
      </w:tr>
      <w:tr>
        <w:tc>
          <w:tcPr>
            <w:tcW w:type="dxa" w:w="2268"/>
          </w:tcPr>
          <w:p>
            <w:r>
              <w:rPr>
                <w:rFonts w:ascii="Calibri" w:hAnsi="Calibri"/>
                <w:b/>
                <w:i w:val="0"/>
                <w:color w:val="1E1E78"/>
                <w:sz w:val="20"/>
              </w:rPr>
              <w:t>Reward Range</w:t>
            </w:r>
          </w:p>
        </w:tc>
        <w:tc>
          <w:tcPr>
            <w:tcW w:type="dxa" w:w="7370"/>
          </w:tcPr>
          <w:p>
            <w:r>
              <w:rPr>
                <w:rFonts w:ascii="Calibri" w:hAnsi="Calibri"/>
                <w:b w:val="0"/>
                <w:i w:val="0"/>
                <w:color w:val="141414"/>
                <w:sz w:val="20"/>
              </w:rPr>
              <w:t>$100 – $1,000 MEC</w:t>
            </w:r>
          </w:p>
        </w:tc>
      </w:tr>
    </w:tbl>
    <w:p>
      <w:r>
        <w:br w:type="page"/>
      </w:r>
    </w:p>
    <w:p>
      <w:pPr>
        <w:spacing w:before="240" w:after="120"/>
      </w:pPr>
      <w:r>
        <w:rPr>
          <w:rFonts w:ascii="Calibri" w:hAnsi="Calibri"/>
          <w:b/>
          <w:i w:val="0"/>
          <w:color w:val="E65100"/>
          <w:sz w:val="40"/>
        </w:rPr>
        <w:t>Bug #4  [HIGH]  getRewardsByHeight — Off-by-One at Halving Boundaries → Inflated Rewards</w:t>
      </w:r>
    </w:p>
    <w:p>
      <w:pPr>
        <w:spacing w:before="120" w:after="120"/>
        <w:pBdr>
          <w:bottom w:val="single" w:sz="6" w:space="1" w:color="283593"/>
        </w:pBdr>
      </w:pPr>
    </w:p>
    <w:p>
      <w:pPr>
        <w:spacing w:before="240" w:after="120"/>
      </w:pPr>
      <w:r>
        <w:rPr>
          <w:rFonts w:ascii="Calibri" w:hAnsi="Calibri"/>
          <w:b/>
          <w:i w:val="0"/>
          <w:color w:val="28288C"/>
          <w:sz w:val="32"/>
        </w:rPr>
        <w:t>Summary</w:t>
      </w:r>
    </w:p>
    <w:p>
      <w:pPr>
        <w:spacing w:after="120"/>
      </w:pPr>
      <w:r>
        <w:rPr>
          <w:rFonts w:ascii="Calibri" w:hAnsi="Calibri"/>
          <w:b w:val="0"/>
          <w:i w:val="0"/>
          <w:color w:val="000000"/>
          <w:sz w:val="22"/>
        </w:rPr>
        <w:t>The getRewardsByHeight function (x/wstaking/keeper/alias_functions.go) has two off-by-one errors in the multi-period branch (when the height range spans a halving boundary). The start period overcounts by +1 block and the end period undercounts by -1 block, causing one block's reward to be calculated at the pre-halving (higher) rate instead of the post-halving (lower) rate. Every user withdrawing rewards across a halving boundary receives slightly more than the emission schedule allows.</w:t>
      </w:r>
    </w:p>
    <w:p>
      <w:pPr>
        <w:spacing w:before="240" w:after="120"/>
      </w:pPr>
      <w:r>
        <w:rPr>
          <w:rFonts w:ascii="Calibri" w:hAnsi="Calibri"/>
          <w:b/>
          <w:i w:val="0"/>
          <w:color w:val="505050"/>
          <w:sz w:val="26"/>
        </w:rPr>
        <w:t>Vulnerable Code</w:t>
      </w:r>
    </w:p>
    <w:p>
      <w:pPr>
        <w:spacing w:before="80" w:after="160"/>
        <w:ind w:left="283"/>
        <w:shd w:val="clear" w:color="auto" w:fill="F2F2F2"/>
      </w:pPr>
      <w:r>
        <w:rPr>
          <w:rFonts w:ascii="Courier New" w:hAnsi="Courier New"/>
          <w:b w:val="0"/>
          <w:i w:val="0"/>
          <w:color w:val="1E1E1E"/>
          <w:sz w:val="18"/>
        </w:rPr>
        <w:t>} else if i == lowMul {</w:t>
        <w:br/>
        <w:t xml:space="preserve">    // BUG A: should be N*(lowMul+1) - fromHeight  (no +1)</w:t>
        <w:br/>
        <w:t xml:space="preserve">    blockCount = int64(mintTypes.OneYearTotalBlocks)*(lowMul+1) - fromHeight + 1  // ← +1 ERROR</w:t>
        <w:br/>
        <w:br/>
        <w:t>} else if i == highMul {</w:t>
        <w:br/>
        <w:t xml:space="preserve">    // BUG B: should be toHeight - N*i  (no -1)</w:t>
        <w:br/>
        <w:t xml:space="preserve">    blockCount = toHeight - int64(mintTypes.OneYearTotalBlocks)*i - 1  // ← -1 ERROR</w:t>
      </w:r>
    </w:p>
    <w:p>
      <w:pPr>
        <w:spacing w:before="240" w:after="120"/>
      </w:pPr>
      <w:r>
        <w:rPr>
          <w:rFonts w:ascii="Calibri" w:hAnsi="Calibri"/>
          <w:b/>
          <w:i w:val="0"/>
          <w:color w:val="505050"/>
          <w:sz w:val="26"/>
        </w:rPr>
        <w:t>Numerical Proof (N=100 blocks/year)</w:t>
      </w:r>
    </w:p>
    <w:p>
      <w:pPr>
        <w:spacing w:before="80" w:after="160"/>
        <w:ind w:left="283"/>
        <w:shd w:val="clear" w:color="auto" w:fill="F2F2F2"/>
      </w:pPr>
      <w:r>
        <w:rPr>
          <w:rFonts w:ascii="Courier New" w:hAnsi="Courier New"/>
          <w:b w:val="0"/>
          <w:i w:val="0"/>
          <w:color w:val="1E1E1E"/>
          <w:sz w:val="18"/>
        </w:rPr>
        <w:t>fromHeight=50, toHeight=150, lowMul=0, highMul=1, period-0 rate=R, period-1 rate=R/2</w:t>
        <w:br/>
        <w:br/>
        <w:t>Expected:  50 blocks@R + 50 blocks@R/2 = 75R</w:t>
        <w:br/>
        <w:t>Code gives: 51 blocks@R + 49 blocks@R/2 = 75.5R</w:t>
        <w:br/>
        <w:t>Overpayment: 0.5R per halving boundary crossed</w:t>
      </w:r>
    </w:p>
    <w:p>
      <w:pPr>
        <w:spacing w:before="240" w:after="120"/>
      </w:pPr>
      <w:r>
        <w:rPr>
          <w:rFonts w:ascii="Calibri" w:hAnsi="Calibri"/>
          <w:b/>
          <w:i w:val="0"/>
          <w:color w:val="505050"/>
          <w:sz w:val="26"/>
        </w:rPr>
        <w:t>Suggested Fix</w:t>
      </w:r>
    </w:p>
    <w:p>
      <w:pPr>
        <w:spacing w:before="80" w:after="160"/>
        <w:ind w:left="283"/>
        <w:shd w:val="clear" w:color="auto" w:fill="F2F2F2"/>
      </w:pPr>
      <w:r>
        <w:rPr>
          <w:rFonts w:ascii="Courier New" w:hAnsi="Courier New"/>
          <w:b w:val="0"/>
          <w:i w:val="0"/>
          <w:color w:val="1E1E1E"/>
          <w:sz w:val="18"/>
        </w:rPr>
        <w:t>} else if i == lowMul {</w:t>
        <w:br/>
        <w:t xml:space="preserve">    blockCount = int64(mintTypes.OneYearTotalBlocks)*(lowMul+1) - fromHeight  // remove +1</w:t>
        <w:br/>
        <w:br/>
        <w:t>} else if i == highMul {</w:t>
        <w:br/>
        <w:t xml:space="preserve">    blockCount = toHeight - int64(mintTypes.OneYearTotalBlocks)*i  // remove -1</w:t>
      </w:r>
    </w:p>
    <w:p>
      <w:pPr>
        <w:spacing w:before="240" w:after="120"/>
      </w:pPr>
      <w:r>
        <w:rPr>
          <w:rFonts w:ascii="Calibri" w:hAnsi="Calibri"/>
          <w:b/>
          <w:i w:val="0"/>
          <w:color w:val="505050"/>
          <w:sz w:val="26"/>
        </w:rPr>
        <w:t>Impact</w:t>
      </w:r>
    </w:p>
    <w:tbl>
      <w:tblPr>
        <w:tblStyle w:val="TableGrid"/>
        <w:tblW w:type="auto" w:w="0"/>
        <w:tblLook w:firstColumn="1" w:firstRow="1" w:lastColumn="0" w:lastRow="0" w:noHBand="0" w:noVBand="1" w:val="04A0"/>
      </w:tblPr>
      <w:tblGrid>
        <w:gridCol w:w="4680"/>
        <w:gridCol w:w="4680"/>
      </w:tblGrid>
      <w:tr>
        <w:tc>
          <w:tcPr>
            <w:tcW w:type="dxa" w:w="2268"/>
          </w:tcPr>
          <w:p>
            <w:pPr>
              <w:shd w:val="clear" w:color="auto" w:fill="283593"/>
            </w:pPr>
            <w:r>
              <w:rPr>
                <w:rFonts w:ascii="Calibri" w:hAnsi="Calibri"/>
                <w:b/>
                <w:i w:val="0"/>
                <w:color w:val="FFFFFF"/>
                <w:sz w:val="20"/>
              </w:rPr>
              <w:t>Field</w:t>
            </w:r>
          </w:p>
        </w:tc>
        <w:tc>
          <w:tcPr>
            <w:tcW w:type="dxa" w:w="7370"/>
          </w:tcPr>
          <w:p>
            <w:pPr>
              <w:shd w:val="clear" w:color="auto" w:fill="283593"/>
            </w:pPr>
            <w:r>
              <w:rPr>
                <w:rFonts w:ascii="Calibri" w:hAnsi="Calibri"/>
                <w:b/>
                <w:i w:val="0"/>
                <w:color w:val="FFFFFF"/>
                <w:sz w:val="20"/>
              </w:rPr>
              <w:t>Detail</w:t>
            </w:r>
          </w:p>
        </w:tc>
      </w:tr>
      <w:tr>
        <w:tc>
          <w:tcPr>
            <w:tcW w:type="dxa" w:w="2268"/>
          </w:tcPr>
          <w:p>
            <w:r>
              <w:rPr>
                <w:rFonts w:ascii="Calibri" w:hAnsi="Calibri"/>
                <w:b/>
                <w:i w:val="0"/>
                <w:color w:val="1E1E78"/>
                <w:sz w:val="20"/>
              </w:rPr>
              <w:t>Severity</w:t>
            </w:r>
          </w:p>
        </w:tc>
        <w:tc>
          <w:tcPr>
            <w:tcW w:type="dxa" w:w="7370"/>
          </w:tcPr>
          <w:p>
            <w:r>
              <w:rPr>
                <w:rFonts w:ascii="Calibri" w:hAnsi="Calibri"/>
                <w:b w:val="0"/>
                <w:i w:val="0"/>
                <w:color w:val="141414"/>
                <w:sz w:val="20"/>
              </w:rPr>
              <w:t>HIGH</w:t>
            </w:r>
          </w:p>
        </w:tc>
      </w:tr>
      <w:tr>
        <w:tc>
          <w:tcPr>
            <w:tcW w:type="dxa" w:w="2268"/>
          </w:tcPr>
          <w:p>
            <w:r>
              <w:rPr>
                <w:rFonts w:ascii="Calibri" w:hAnsi="Calibri"/>
                <w:b/>
                <w:i w:val="0"/>
                <w:color w:val="1E1E78"/>
                <w:sz w:val="20"/>
              </w:rPr>
              <w:t>Module</w:t>
            </w:r>
          </w:p>
        </w:tc>
        <w:tc>
          <w:tcPr>
            <w:tcW w:type="dxa" w:w="7370"/>
          </w:tcPr>
          <w:p>
            <w:r>
              <w:rPr>
                <w:rFonts w:ascii="Calibri" w:hAnsi="Calibri"/>
                <w:b w:val="0"/>
                <w:i w:val="0"/>
                <w:color w:val="141414"/>
                <w:sz w:val="20"/>
              </w:rPr>
              <w:t>x/wstaking</w:t>
            </w:r>
          </w:p>
        </w:tc>
      </w:tr>
      <w:tr>
        <w:tc>
          <w:tcPr>
            <w:tcW w:type="dxa" w:w="2268"/>
          </w:tcPr>
          <w:p>
            <w:r>
              <w:rPr>
                <w:rFonts w:ascii="Calibri" w:hAnsi="Calibri"/>
                <w:b/>
                <w:i w:val="0"/>
                <w:color w:val="1E1E78"/>
                <w:sz w:val="20"/>
              </w:rPr>
              <w:t>Callers</w:t>
            </w:r>
          </w:p>
        </w:tc>
        <w:tc>
          <w:tcPr>
            <w:tcW w:type="dxa" w:w="7370"/>
          </w:tcPr>
          <w:p>
            <w:r>
              <w:rPr>
                <w:rFonts w:ascii="Calibri" w:hAnsi="Calibri"/>
                <w:b w:val="0"/>
                <w:i w:val="0"/>
                <w:color w:val="141414"/>
                <w:sz w:val="20"/>
              </w:rPr>
              <w:t>Delegate, Undelegate, WithdrawDelegatorReward, KYC approve/remove</w:t>
            </w:r>
          </w:p>
        </w:tc>
      </w:tr>
      <w:tr>
        <w:tc>
          <w:tcPr>
            <w:tcW w:type="dxa" w:w="2268"/>
          </w:tcPr>
          <w:p>
            <w:r>
              <w:rPr>
                <w:rFonts w:ascii="Calibri" w:hAnsi="Calibri"/>
                <w:b/>
                <w:i w:val="0"/>
                <w:color w:val="1E1E78"/>
                <w:sz w:val="20"/>
              </w:rPr>
              <w:t>Impact</w:t>
            </w:r>
          </w:p>
        </w:tc>
        <w:tc>
          <w:tcPr>
            <w:tcW w:type="dxa" w:w="7370"/>
          </w:tcPr>
          <w:p>
            <w:r>
              <w:rPr>
                <w:rFonts w:ascii="Calibri" w:hAnsi="Calibri"/>
                <w:b w:val="0"/>
                <w:i w:val="0"/>
                <w:color w:val="141414"/>
                <w:sz w:val="20"/>
              </w:rPr>
              <w:t>Systematic overpayment at every halving boundary; treasury drain over time</w:t>
            </w:r>
          </w:p>
        </w:tc>
      </w:tr>
      <w:tr>
        <w:tc>
          <w:tcPr>
            <w:tcW w:type="dxa" w:w="2268"/>
          </w:tcPr>
          <w:p>
            <w:r>
              <w:rPr>
                <w:rFonts w:ascii="Calibri" w:hAnsi="Calibri"/>
                <w:b/>
                <w:i w:val="0"/>
                <w:color w:val="1E1E78"/>
                <w:sz w:val="20"/>
              </w:rPr>
              <w:t>Reward Range</w:t>
            </w:r>
          </w:p>
        </w:tc>
        <w:tc>
          <w:tcPr>
            <w:tcW w:type="dxa" w:w="7370"/>
          </w:tcPr>
          <w:p>
            <w:r>
              <w:rPr>
                <w:rFonts w:ascii="Calibri" w:hAnsi="Calibri"/>
                <w:b w:val="0"/>
                <w:i w:val="0"/>
                <w:color w:val="141414"/>
                <w:sz w:val="20"/>
              </w:rPr>
              <w:t>$1,000 – $2,000 MEC</w:t>
            </w:r>
          </w:p>
        </w:tc>
      </w:tr>
    </w:tbl>
    <w:p>
      <w:r>
        <w:br w:type="page"/>
      </w:r>
    </w:p>
    <w:p>
      <w:pPr>
        <w:spacing w:before="240" w:after="120"/>
      </w:pPr>
      <w:r>
        <w:rPr>
          <w:rFonts w:ascii="Calibri" w:hAnsi="Calibri"/>
          <w:b/>
          <w:i w:val="0"/>
          <w:color w:val="E65100"/>
          <w:sz w:val="40"/>
        </w:rPr>
        <w:t>Bug #5  [HIGH]  WithdrawFromRegion — No Solvency Check Enables Treasury Drain</w:t>
      </w:r>
    </w:p>
    <w:p>
      <w:pPr>
        <w:spacing w:before="120" w:after="120"/>
        <w:pBdr>
          <w:bottom w:val="single" w:sz="6" w:space="1" w:color="283593"/>
        </w:pBdr>
      </w:pPr>
    </w:p>
    <w:p>
      <w:pPr>
        <w:spacing w:before="240" w:after="120"/>
      </w:pPr>
      <w:r>
        <w:rPr>
          <w:rFonts w:ascii="Calibri" w:hAnsi="Calibri"/>
          <w:b/>
          <w:i w:val="0"/>
          <w:color w:val="28288C"/>
          <w:sz w:val="32"/>
        </w:rPr>
        <w:t>Summary</w:t>
      </w:r>
    </w:p>
    <w:p>
      <w:pPr>
        <w:spacing w:after="120"/>
      </w:pPr>
      <w:r>
        <w:rPr>
          <w:rFonts w:ascii="Calibri" w:hAnsi="Calibri"/>
          <w:b w:val="0"/>
          <w:i w:val="0"/>
          <w:color w:val="000000"/>
          <w:sz w:val="22"/>
        </w:rPr>
        <w:t>WithdrawFromRegion (x/wstaking/keeper/msg_server_region.go) allows GlobalDAO or a granted address to withdraw any amount from the region treasury with no validation against committed DelegateInterest or FixedDepositAmount obligations. A single call can drain the treasury below what is needed to pay all existing delegators and depositors, permanently breaking all future reward payouts for that region.</w:t>
      </w:r>
    </w:p>
    <w:p>
      <w:pPr>
        <w:spacing w:before="240" w:after="120"/>
      </w:pPr>
      <w:r>
        <w:rPr>
          <w:rFonts w:ascii="Calibri" w:hAnsi="Calibri"/>
          <w:b/>
          <w:i w:val="0"/>
          <w:color w:val="505050"/>
          <w:sz w:val="26"/>
        </w:rPr>
        <w:t>Exploit Scenario</w:t>
      </w:r>
    </w:p>
    <w:p>
      <w:pPr>
        <w:spacing w:before="80" w:after="160"/>
        <w:ind w:left="283"/>
        <w:shd w:val="clear" w:color="auto" w:fill="F2F2F2"/>
      </w:pPr>
      <w:r>
        <w:rPr>
          <w:rFonts w:ascii="Courier New" w:hAnsi="Courier New"/>
          <w:b w:val="0"/>
          <w:i w:val="0"/>
          <w:color w:val="1E1E1E"/>
          <w:sz w:val="18"/>
        </w:rPr>
        <w:t>State:</w:t>
        <w:br/>
        <w:t xml:space="preserve">  treasury balance          = 10,000 MEC</w:t>
        <w:br/>
        <w:t xml:space="preserve">  region.DelegateInterest   = 8,000 MEC  (owed to delegators)</w:t>
        <w:br/>
        <w:t xml:space="preserve">  FixedDeposit interest     = 1,000 MEC</w:t>
        <w:br/>
        <w:br/>
        <w:t>Attack:</w:t>
        <w:br/>
        <w:t xml:space="preserve">  GlobalDAO calls WithdrawFromRegion(amount=9,500 MEC)</w:t>
        <w:br/>
        <w:t xml:space="preserve">  → Transaction SUCCEEDS (no solvency check)</w:t>
        <w:br/>
        <w:t xml:space="preserve">  → Treasury now has 500 MEC</w:t>
        <w:br/>
        <w:br/>
        <w:t>Result:</w:t>
        <w:br/>
        <w:t xml:space="preserve">  All future WithdrawDelegatorReward calls FAIL:</w:t>
        <w:br/>
        <w:t xml:space="preserve">    "insufficient funds: 500umec &lt; 8000000000umec"</w:t>
        <w:br/>
        <w:t xml:space="preserve">  All delegators permanently lose their earned rewards.</w:t>
      </w:r>
    </w:p>
    <w:p>
      <w:pPr>
        <w:spacing w:before="240" w:after="120"/>
      </w:pPr>
      <w:r>
        <w:rPr>
          <w:rFonts w:ascii="Calibri" w:hAnsi="Calibri"/>
          <w:b/>
          <w:i w:val="0"/>
          <w:color w:val="505050"/>
          <w:sz w:val="26"/>
        </w:rPr>
        <w:t>Vulnerable Code</w:t>
      </w:r>
    </w:p>
    <w:p>
      <w:pPr>
        <w:spacing w:before="80" w:after="160"/>
        <w:ind w:left="283"/>
        <w:shd w:val="clear" w:color="auto" w:fill="F2F2F2"/>
      </w:pPr>
      <w:r>
        <w:rPr>
          <w:rFonts w:ascii="Courier New" w:hAnsi="Courier New"/>
          <w:b w:val="0"/>
          <w:i w:val="0"/>
          <w:color w:val="1E1E1E"/>
          <w:sz w:val="18"/>
        </w:rPr>
        <w:t>// ⚠️ No check that msg.Amount ≤ treasury - DelegateInterest</w:t>
        <w:br/>
        <w:t>err = k.bankKeeper.Extend().SendCoinsWithTag(ctx, fromAddr, toAddr, msg.Amount, ...)</w:t>
      </w:r>
    </w:p>
    <w:p>
      <w:pPr>
        <w:spacing w:before="240" w:after="120"/>
      </w:pPr>
      <w:r>
        <w:rPr>
          <w:rFonts w:ascii="Calibri" w:hAnsi="Calibri"/>
          <w:b/>
          <w:i w:val="0"/>
          <w:color w:val="505050"/>
          <w:sz w:val="26"/>
        </w:rPr>
        <w:t>Suggested Fix</w:t>
      </w:r>
    </w:p>
    <w:p>
      <w:pPr>
        <w:spacing w:before="80" w:after="160"/>
        <w:ind w:left="283"/>
        <w:shd w:val="clear" w:color="auto" w:fill="F2F2F2"/>
      </w:pPr>
      <w:r>
        <w:rPr>
          <w:rFonts w:ascii="Courier New" w:hAnsi="Courier New"/>
          <w:b w:val="0"/>
          <w:i w:val="0"/>
          <w:color w:val="1E1E1E"/>
          <w:sz w:val="18"/>
        </w:rPr>
        <w:t>committedInterest  := region.DelegateInterest.TruncateInt()</w:t>
        <w:br/>
        <w:t>treasuryBalance    := k.bankKeeper.GetBalance(ctx, fromAddr, bondDenom).Amount</w:t>
        <w:br/>
        <w:t>availableToWithdraw := treasuryBalance.Sub(committedInterest)</w:t>
        <w:br/>
        <w:t>if availableToWithdraw.IsNegative() || withdrawAmount.GT(availableToWithdraw) {</w:t>
        <w:br/>
        <w:t xml:space="preserve">    return nil, sdkerrors.Wrapf(sdkerrors.ErrInsufficientFunds,</w:t>
        <w:br/>
        <w:t xml:space="preserve">        "withdrawal exceeds available balance after DelegateInterest reserve")</w:t>
        <w:br/>
        <w:t>}</w:t>
      </w:r>
    </w:p>
    <w:p>
      <w:pPr>
        <w:spacing w:before="240" w:after="120"/>
      </w:pPr>
      <w:r>
        <w:rPr>
          <w:rFonts w:ascii="Calibri" w:hAnsi="Calibri"/>
          <w:b/>
          <w:i w:val="0"/>
          <w:color w:val="505050"/>
          <w:sz w:val="26"/>
        </w:rPr>
        <w:t>Impact</w:t>
      </w:r>
    </w:p>
    <w:tbl>
      <w:tblPr>
        <w:tblStyle w:val="TableGrid"/>
        <w:tblW w:type="auto" w:w="0"/>
        <w:tblLook w:firstColumn="1" w:firstRow="1" w:lastColumn="0" w:lastRow="0" w:noHBand="0" w:noVBand="1" w:val="04A0"/>
      </w:tblPr>
      <w:tblGrid>
        <w:gridCol w:w="4680"/>
        <w:gridCol w:w="4680"/>
      </w:tblGrid>
      <w:tr>
        <w:tc>
          <w:tcPr>
            <w:tcW w:type="dxa" w:w="2268"/>
          </w:tcPr>
          <w:p>
            <w:pPr>
              <w:shd w:val="clear" w:color="auto" w:fill="283593"/>
            </w:pPr>
            <w:r>
              <w:rPr>
                <w:rFonts w:ascii="Calibri" w:hAnsi="Calibri"/>
                <w:b/>
                <w:i w:val="0"/>
                <w:color w:val="FFFFFF"/>
                <w:sz w:val="20"/>
              </w:rPr>
              <w:t>Field</w:t>
            </w:r>
          </w:p>
        </w:tc>
        <w:tc>
          <w:tcPr>
            <w:tcW w:type="dxa" w:w="7370"/>
          </w:tcPr>
          <w:p>
            <w:pPr>
              <w:shd w:val="clear" w:color="auto" w:fill="283593"/>
            </w:pPr>
            <w:r>
              <w:rPr>
                <w:rFonts w:ascii="Calibri" w:hAnsi="Calibri"/>
                <w:b/>
                <w:i w:val="0"/>
                <w:color w:val="FFFFFF"/>
                <w:sz w:val="20"/>
              </w:rPr>
              <w:t>Detail</w:t>
            </w:r>
          </w:p>
        </w:tc>
      </w:tr>
      <w:tr>
        <w:tc>
          <w:tcPr>
            <w:tcW w:type="dxa" w:w="2268"/>
          </w:tcPr>
          <w:p>
            <w:r>
              <w:rPr>
                <w:rFonts w:ascii="Calibri" w:hAnsi="Calibri"/>
                <w:b/>
                <w:i w:val="0"/>
                <w:color w:val="1E1E78"/>
                <w:sz w:val="20"/>
              </w:rPr>
              <w:t>Severity</w:t>
            </w:r>
          </w:p>
        </w:tc>
        <w:tc>
          <w:tcPr>
            <w:tcW w:type="dxa" w:w="7370"/>
          </w:tcPr>
          <w:p>
            <w:r>
              <w:rPr>
                <w:rFonts w:ascii="Calibri" w:hAnsi="Calibri"/>
                <w:b w:val="0"/>
                <w:i w:val="0"/>
                <w:color w:val="141414"/>
                <w:sz w:val="20"/>
              </w:rPr>
              <w:t>HIGH</w:t>
            </w:r>
          </w:p>
        </w:tc>
      </w:tr>
      <w:tr>
        <w:tc>
          <w:tcPr>
            <w:tcW w:type="dxa" w:w="2268"/>
          </w:tcPr>
          <w:p>
            <w:r>
              <w:rPr>
                <w:rFonts w:ascii="Calibri" w:hAnsi="Calibri"/>
                <w:b/>
                <w:i w:val="0"/>
                <w:color w:val="1E1E78"/>
                <w:sz w:val="20"/>
              </w:rPr>
              <w:t>Module</w:t>
            </w:r>
          </w:p>
        </w:tc>
        <w:tc>
          <w:tcPr>
            <w:tcW w:type="dxa" w:w="7370"/>
          </w:tcPr>
          <w:p>
            <w:r>
              <w:rPr>
                <w:rFonts w:ascii="Calibri" w:hAnsi="Calibri"/>
                <w:b w:val="0"/>
                <w:i w:val="0"/>
                <w:color w:val="141414"/>
                <w:sz w:val="20"/>
              </w:rPr>
              <w:t>x/wstaking</w:t>
            </w:r>
          </w:p>
        </w:tc>
      </w:tr>
      <w:tr>
        <w:tc>
          <w:tcPr>
            <w:tcW w:type="dxa" w:w="2268"/>
          </w:tcPr>
          <w:p>
            <w:r>
              <w:rPr>
                <w:rFonts w:ascii="Calibri" w:hAnsi="Calibri"/>
                <w:b/>
                <w:i w:val="0"/>
                <w:color w:val="1E1E78"/>
                <w:sz w:val="20"/>
              </w:rPr>
              <w:t>Access Required</w:t>
            </w:r>
          </w:p>
        </w:tc>
        <w:tc>
          <w:tcPr>
            <w:tcW w:type="dxa" w:w="7370"/>
          </w:tcPr>
          <w:p>
            <w:r>
              <w:rPr>
                <w:rFonts w:ascii="Calibri" w:hAnsi="Calibri"/>
                <w:b w:val="0"/>
                <w:i w:val="0"/>
                <w:color w:val="141414"/>
                <w:sz w:val="20"/>
              </w:rPr>
              <w:t>GlobalDAO or GrantRegionWithdraw-authorized address</w:t>
            </w:r>
          </w:p>
        </w:tc>
      </w:tr>
      <w:tr>
        <w:tc>
          <w:tcPr>
            <w:tcW w:type="dxa" w:w="2268"/>
          </w:tcPr>
          <w:p>
            <w:r>
              <w:rPr>
                <w:rFonts w:ascii="Calibri" w:hAnsi="Calibri"/>
                <w:b/>
                <w:i w:val="0"/>
                <w:color w:val="1E1E78"/>
                <w:sz w:val="20"/>
              </w:rPr>
              <w:t>Impact</w:t>
            </w:r>
          </w:p>
        </w:tc>
        <w:tc>
          <w:tcPr>
            <w:tcW w:type="dxa" w:w="7370"/>
          </w:tcPr>
          <w:p>
            <w:r>
              <w:rPr>
                <w:rFonts w:ascii="Calibri" w:hAnsi="Calibri"/>
                <w:b w:val="0"/>
                <w:i w:val="0"/>
                <w:color w:val="141414"/>
                <w:sz w:val="20"/>
              </w:rPr>
              <w:t>Treasury drain → all delegator rewards permanently lost; region broken</w:t>
            </w:r>
          </w:p>
        </w:tc>
      </w:tr>
      <w:tr>
        <w:tc>
          <w:tcPr>
            <w:tcW w:type="dxa" w:w="2268"/>
          </w:tcPr>
          <w:p>
            <w:r>
              <w:rPr>
                <w:rFonts w:ascii="Calibri" w:hAnsi="Calibri"/>
                <w:b/>
                <w:i w:val="0"/>
                <w:color w:val="1E1E78"/>
                <w:sz w:val="20"/>
              </w:rPr>
              <w:t>Reward Range</w:t>
            </w:r>
          </w:p>
        </w:tc>
        <w:tc>
          <w:tcPr>
            <w:tcW w:type="dxa" w:w="7370"/>
          </w:tcPr>
          <w:p>
            <w:r>
              <w:rPr>
                <w:rFonts w:ascii="Calibri" w:hAnsi="Calibri"/>
                <w:b w:val="0"/>
                <w:i w:val="0"/>
                <w:color w:val="141414"/>
                <w:sz w:val="20"/>
              </w:rPr>
              <w:t>$1,000 – $2,000 MEC</w:t>
            </w:r>
          </w:p>
        </w:tc>
      </w:tr>
    </w:tbl>
    <w:p>
      <w:r>
        <w:br w:type="page"/>
      </w:r>
    </w:p>
    <w:p>
      <w:pPr>
        <w:spacing w:before="240" w:after="120"/>
      </w:pPr>
      <w:r>
        <w:rPr>
          <w:rFonts w:ascii="Calibri" w:hAnsi="Calibri"/>
          <w:b/>
          <w:i w:val="0"/>
          <w:color w:val="F57F17"/>
          <w:sz w:val="40"/>
        </w:rPr>
        <w:t>Bug #6  [MEDIUM]  DoFixedDeposit — Incorrect Solvency Formula Accepts Deposits on Insolvent Treasury</w:t>
      </w:r>
    </w:p>
    <w:p>
      <w:pPr>
        <w:spacing w:before="120" w:after="120"/>
        <w:pBdr>
          <w:bottom w:val="single" w:sz="6" w:space="1" w:color="283593"/>
        </w:pBdr>
      </w:pPr>
    </w:p>
    <w:p>
      <w:pPr>
        <w:spacing w:before="240" w:after="120"/>
      </w:pPr>
      <w:r>
        <w:rPr>
          <w:rFonts w:ascii="Calibri" w:hAnsi="Calibri"/>
          <w:b/>
          <w:i w:val="0"/>
          <w:color w:val="28288C"/>
          <w:sz w:val="32"/>
        </w:rPr>
        <w:t>Summary</w:t>
      </w:r>
    </w:p>
    <w:p>
      <w:pPr>
        <w:spacing w:after="120"/>
      </w:pPr>
      <w:r>
        <w:rPr>
          <w:rFonts w:ascii="Calibri" w:hAnsi="Calibri"/>
          <w:b w:val="0"/>
          <w:i w:val="0"/>
          <w:color w:val="000000"/>
          <w:sz w:val="22"/>
        </w:rPr>
        <w:t>The DoFixedDeposit solvency check uses a formula that is dimensionally inconsistent with the actual interest calculation in Calculate(). It incorrectly multiplies by regionShare and divides by initAllocationFunds — factors not present in the real interest formula. When regionShare is small (new region), the estimated interest is near zero, the solvency check always passes even when the treasury cannot actually cover the promised fixed deposit interest.</w:t>
      </w:r>
    </w:p>
    <w:p>
      <w:pPr>
        <w:spacing w:before="240" w:after="120"/>
      </w:pPr>
      <w:r>
        <w:rPr>
          <w:rFonts w:ascii="Calibri" w:hAnsi="Calibri"/>
          <w:b/>
          <w:i w:val="0"/>
          <w:color w:val="505050"/>
          <w:sz w:val="26"/>
        </w:rPr>
        <w:t>Formula Comparison</w:t>
      </w:r>
    </w:p>
    <w:p>
      <w:pPr>
        <w:spacing w:before="80" w:after="160"/>
        <w:ind w:left="283"/>
        <w:shd w:val="clear" w:color="auto" w:fill="F2F2F2"/>
      </w:pPr>
      <w:r>
        <w:rPr>
          <w:rFonts w:ascii="Courier New" w:hAnsi="Courier New"/>
          <w:b w:val="0"/>
          <w:i w:val="0"/>
          <w:color w:val="1E1E1E"/>
          <w:sz w:val="18"/>
        </w:rPr>
        <w:t>// DoFixedDeposit — WRONG formula:</w:t>
        <w:br/>
        <w:t>interestAmountDec = deAmount * regionShare * totalRewardsPerBlock</w:t>
        <w:br/>
        <w:t xml:space="preserve">                    / (totalSupply * initAllocationFunds)</w:t>
        <w:br/>
        <w:t>// multiplies regionShare and divides by initAllocationFunds — not in actual formula</w:t>
        <w:br/>
        <w:br/>
        <w:t>// alias_functions.go Calculate() — CORRECT formula:</w:t>
        <w:br/>
        <w:t>rewards = blockRewards * (totalStaking / totalSupply) * 10^(-BaseDenomUnit)</w:t>
        <w:br/>
        <w:t>// No regionShare, no initAllocationFunds</w:t>
      </w:r>
    </w:p>
    <w:p>
      <w:pPr>
        <w:spacing w:before="240" w:after="120"/>
      </w:pPr>
      <w:r>
        <w:rPr>
          <w:rFonts w:ascii="Calibri" w:hAnsi="Calibri"/>
          <w:b/>
          <w:i w:val="0"/>
          <w:color w:val="505050"/>
          <w:sz w:val="26"/>
        </w:rPr>
        <w:t>Suggested Fix</w:t>
      </w:r>
    </w:p>
    <w:p>
      <w:pPr>
        <w:spacing w:before="80" w:after="160"/>
        <w:ind w:left="283"/>
        <w:shd w:val="clear" w:color="auto" w:fill="F2F2F2"/>
      </w:pPr>
      <w:r>
        <w:rPr>
          <w:rFonts w:ascii="Courier New" w:hAnsi="Courier New"/>
          <w:b w:val="0"/>
          <w:i w:val="0"/>
          <w:color w:val="1E1E1E"/>
          <w:sz w:val="18"/>
        </w:rPr>
        <w:t>// Replace with the actual Calculate() formula:</w:t>
        <w:br/>
        <w:t>totalRewardsPerBlock := sdk.NewDecFromBigInt(&amp;totalRewardsPerBlockTemp)</w:t>
        <w:br/>
        <w:t>perBlockDelegationInterest := k.Calculate(totalRewardsPerBlock, region.DelegateAmount)</w:t>
        <w:br/>
        <w:t>depositTermBlocks := int64(msg.Term) * int64(24*60*60/6)</w:t>
        <w:br/>
        <w:t>estimatedObligation := perBlockDelegationInterest.MulInt64(depositTermBlocks)</w:t>
      </w:r>
    </w:p>
    <w:p>
      <w:pPr>
        <w:spacing w:before="240" w:after="120"/>
      </w:pPr>
      <w:r>
        <w:rPr>
          <w:rFonts w:ascii="Calibri" w:hAnsi="Calibri"/>
          <w:b/>
          <w:i w:val="0"/>
          <w:color w:val="505050"/>
          <w:sz w:val="26"/>
        </w:rPr>
        <w:t>Impact</w:t>
      </w:r>
    </w:p>
    <w:tbl>
      <w:tblPr>
        <w:tblStyle w:val="TableGrid"/>
        <w:tblW w:type="auto" w:w="0"/>
        <w:tblLook w:firstColumn="1" w:firstRow="1" w:lastColumn="0" w:lastRow="0" w:noHBand="0" w:noVBand="1" w:val="04A0"/>
      </w:tblPr>
      <w:tblGrid>
        <w:gridCol w:w="4680"/>
        <w:gridCol w:w="4680"/>
      </w:tblGrid>
      <w:tr>
        <w:tc>
          <w:tcPr>
            <w:tcW w:type="dxa" w:w="2268"/>
          </w:tcPr>
          <w:p>
            <w:pPr>
              <w:shd w:val="clear" w:color="auto" w:fill="283593"/>
            </w:pPr>
            <w:r>
              <w:rPr>
                <w:rFonts w:ascii="Calibri" w:hAnsi="Calibri"/>
                <w:b/>
                <w:i w:val="0"/>
                <w:color w:val="FFFFFF"/>
                <w:sz w:val="20"/>
              </w:rPr>
              <w:t>Field</w:t>
            </w:r>
          </w:p>
        </w:tc>
        <w:tc>
          <w:tcPr>
            <w:tcW w:type="dxa" w:w="7370"/>
          </w:tcPr>
          <w:p>
            <w:pPr>
              <w:shd w:val="clear" w:color="auto" w:fill="283593"/>
            </w:pPr>
            <w:r>
              <w:rPr>
                <w:rFonts w:ascii="Calibri" w:hAnsi="Calibri"/>
                <w:b/>
                <w:i w:val="0"/>
                <w:color w:val="FFFFFF"/>
                <w:sz w:val="20"/>
              </w:rPr>
              <w:t>Detail</w:t>
            </w:r>
          </w:p>
        </w:tc>
      </w:tr>
      <w:tr>
        <w:tc>
          <w:tcPr>
            <w:tcW w:type="dxa" w:w="2268"/>
          </w:tcPr>
          <w:p>
            <w:r>
              <w:rPr>
                <w:rFonts w:ascii="Calibri" w:hAnsi="Calibri"/>
                <w:b/>
                <w:i w:val="0"/>
                <w:color w:val="1E1E78"/>
                <w:sz w:val="20"/>
              </w:rPr>
              <w:t>Severity</w:t>
            </w:r>
          </w:p>
        </w:tc>
        <w:tc>
          <w:tcPr>
            <w:tcW w:type="dxa" w:w="7370"/>
          </w:tcPr>
          <w:p>
            <w:r>
              <w:rPr>
                <w:rFonts w:ascii="Calibri" w:hAnsi="Calibri"/>
                <w:b w:val="0"/>
                <w:i w:val="0"/>
                <w:color w:val="141414"/>
                <w:sz w:val="20"/>
              </w:rPr>
              <w:t>MEDIUM</w:t>
            </w:r>
          </w:p>
        </w:tc>
      </w:tr>
      <w:tr>
        <w:tc>
          <w:tcPr>
            <w:tcW w:type="dxa" w:w="2268"/>
          </w:tcPr>
          <w:p>
            <w:r>
              <w:rPr>
                <w:rFonts w:ascii="Calibri" w:hAnsi="Calibri"/>
                <w:b/>
                <w:i w:val="0"/>
                <w:color w:val="1E1E78"/>
                <w:sz w:val="20"/>
              </w:rPr>
              <w:t>Module</w:t>
            </w:r>
          </w:p>
        </w:tc>
        <w:tc>
          <w:tcPr>
            <w:tcW w:type="dxa" w:w="7370"/>
          </w:tcPr>
          <w:p>
            <w:r>
              <w:rPr>
                <w:rFonts w:ascii="Calibri" w:hAnsi="Calibri"/>
                <w:b w:val="0"/>
                <w:i w:val="0"/>
                <w:color w:val="141414"/>
                <w:sz w:val="20"/>
              </w:rPr>
              <w:t>x/wstaking</w:t>
            </w:r>
          </w:p>
        </w:tc>
      </w:tr>
      <w:tr>
        <w:tc>
          <w:tcPr>
            <w:tcW w:type="dxa" w:w="2268"/>
          </w:tcPr>
          <w:p>
            <w:r>
              <w:rPr>
                <w:rFonts w:ascii="Calibri" w:hAnsi="Calibri"/>
                <w:b/>
                <w:i w:val="0"/>
                <w:color w:val="1E1E78"/>
                <w:sz w:val="20"/>
              </w:rPr>
              <w:t>Function</w:t>
            </w:r>
          </w:p>
        </w:tc>
        <w:tc>
          <w:tcPr>
            <w:tcW w:type="dxa" w:w="7370"/>
          </w:tcPr>
          <w:p>
            <w:r>
              <w:rPr>
                <w:rFonts w:ascii="Calibri" w:hAnsi="Calibri"/>
                <w:b w:val="0"/>
                <w:i w:val="0"/>
                <w:color w:val="141414"/>
                <w:sz w:val="20"/>
              </w:rPr>
              <w:t>DoFixedDeposit()</w:t>
            </w:r>
          </w:p>
        </w:tc>
      </w:tr>
      <w:tr>
        <w:tc>
          <w:tcPr>
            <w:tcW w:type="dxa" w:w="2268"/>
          </w:tcPr>
          <w:p>
            <w:r>
              <w:rPr>
                <w:rFonts w:ascii="Calibri" w:hAnsi="Calibri"/>
                <w:b/>
                <w:i w:val="0"/>
                <w:color w:val="1E1E78"/>
                <w:sz w:val="20"/>
              </w:rPr>
              <w:t>Impact</w:t>
            </w:r>
          </w:p>
        </w:tc>
        <w:tc>
          <w:tcPr>
            <w:tcW w:type="dxa" w:w="7370"/>
          </w:tcPr>
          <w:p>
            <w:r>
              <w:rPr>
                <w:rFonts w:ascii="Calibri" w:hAnsi="Calibri"/>
                <w:b w:val="0"/>
                <w:i w:val="0"/>
                <w:color w:val="141414"/>
                <w:sz w:val="20"/>
              </w:rPr>
              <w:t>Fixed deposits accepted on insolvent treasury; depositors cannot claim interest at maturity</w:t>
            </w:r>
          </w:p>
        </w:tc>
      </w:tr>
      <w:tr>
        <w:tc>
          <w:tcPr>
            <w:tcW w:type="dxa" w:w="2268"/>
          </w:tcPr>
          <w:p>
            <w:r>
              <w:rPr>
                <w:rFonts w:ascii="Calibri" w:hAnsi="Calibri"/>
                <w:b/>
                <w:i w:val="0"/>
                <w:color w:val="1E1E78"/>
                <w:sz w:val="20"/>
              </w:rPr>
              <w:t>Reward Range</w:t>
            </w:r>
          </w:p>
        </w:tc>
        <w:tc>
          <w:tcPr>
            <w:tcW w:type="dxa" w:w="7370"/>
          </w:tcPr>
          <w:p>
            <w:r>
              <w:rPr>
                <w:rFonts w:ascii="Calibri" w:hAnsi="Calibri"/>
                <w:b w:val="0"/>
                <w:i w:val="0"/>
                <w:color w:val="141414"/>
                <w:sz w:val="20"/>
              </w:rPr>
              <w:t>$100 – $1,000 MEC</w:t>
            </w:r>
          </w:p>
        </w:tc>
      </w:tr>
    </w:tbl>
    <w:p>
      <w:r>
        <w:br w:type="page"/>
      </w:r>
    </w:p>
    <w:p>
      <w:pPr>
        <w:spacing w:before="240" w:after="120"/>
      </w:pPr>
      <w:r>
        <w:rPr>
          <w:rFonts w:ascii="Calibri" w:hAnsi="Calibri"/>
          <w:b/>
          <w:i w:val="0"/>
          <w:color w:val="E65100"/>
          <w:sz w:val="40"/>
        </w:rPr>
        <w:t>Bug #7  [HIGH]  IbcTransferFromRegionTreasure — Receiver Hardcoded as Sender → Funds Permanently Burned</w:t>
      </w:r>
    </w:p>
    <w:p>
      <w:pPr>
        <w:spacing w:before="120" w:after="120"/>
        <w:pBdr>
          <w:bottom w:val="single" w:sz="6" w:space="1" w:color="283593"/>
        </w:pBdr>
      </w:pPr>
    </w:p>
    <w:p>
      <w:pPr>
        <w:spacing w:before="240" w:after="120"/>
      </w:pPr>
      <w:r>
        <w:rPr>
          <w:rFonts w:ascii="Calibri" w:hAnsi="Calibri"/>
          <w:b/>
          <w:i w:val="0"/>
          <w:color w:val="28288C"/>
          <w:sz w:val="32"/>
        </w:rPr>
        <w:t>Summary</w:t>
      </w:r>
    </w:p>
    <w:p>
      <w:pPr>
        <w:spacing w:after="120"/>
      </w:pPr>
      <w:r>
        <w:rPr>
          <w:rFonts w:ascii="Calibri" w:hAnsi="Calibri"/>
          <w:b w:val="0"/>
          <w:i w:val="0"/>
          <w:color w:val="000000"/>
          <w:sz w:val="22"/>
        </w:rPr>
        <w:t>IbcTransferFromRegionTreasure constructs an IBC MsgTransfer with both sender and receiver set to the same region treasury address (treasureAddress). The region treasury is a module-account-derived address that no one controls on the destination chain. Any IBC transfer through this function sends funds to an unspendable address on the destination chain — effectively burning the transferred tokens permanently.</w:t>
      </w:r>
    </w:p>
    <w:p>
      <w:pPr>
        <w:spacing w:before="240" w:after="120"/>
      </w:pPr>
      <w:r>
        <w:rPr>
          <w:rFonts w:ascii="Calibri" w:hAnsi="Calibri"/>
          <w:b/>
          <w:i w:val="0"/>
          <w:color w:val="505050"/>
          <w:sz w:val="26"/>
        </w:rPr>
        <w:t>Vulnerable Code</w:t>
      </w:r>
    </w:p>
    <w:p>
      <w:pPr>
        <w:spacing w:before="80" w:after="160"/>
        <w:ind w:left="283"/>
        <w:shd w:val="clear" w:color="auto" w:fill="F2F2F2"/>
      </w:pPr>
      <w:r>
        <w:rPr>
          <w:rFonts w:ascii="Courier New" w:hAnsi="Courier New"/>
          <w:b w:val="0"/>
          <w:i w:val="0"/>
          <w:color w:val="1E1E1E"/>
          <w:sz w:val="18"/>
        </w:rPr>
        <w:t>treasureAddress := region.RegionTreasureAddr</w:t>
        <w:br/>
        <w:br/>
        <w:t>_, err := k.IbcTransferKeeper.Transfer(ctx, ibctransfertypes.NewMsgTransfer(</w:t>
        <w:br/>
        <w:t xml:space="preserve">    msg.SourcePort,</w:t>
        <w:br/>
        <w:t xml:space="preserve">    msg.SourceChannel,</w:t>
        <w:br/>
        <w:t xml:space="preserve">    msg.Token,</w:t>
        <w:br/>
        <w:t xml:space="preserve">    treasureAddress,    // sender  ← correct</w:t>
        <w:br/>
        <w:t xml:space="preserve">    treasureAddress,    // receiver ← ⚠️ BUG: should be msg.Receiver or intended destination</w:t>
        <w:br/>
        <w:t xml:space="preserve">    ...</w:t>
        <w:br/>
        <w:t>))</w:t>
        <w:br/>
        <w:t>// msg.Receiver field is completely ignored — funds go to module address on dest chain</w:t>
      </w:r>
    </w:p>
    <w:p>
      <w:pPr>
        <w:spacing w:before="240" w:after="120"/>
      </w:pPr>
      <w:r>
        <w:rPr>
          <w:rFonts w:ascii="Calibri" w:hAnsi="Calibri"/>
          <w:b/>
          <w:i w:val="0"/>
          <w:color w:val="505050"/>
          <w:sz w:val="26"/>
        </w:rPr>
        <w:t>Burn Mechanism</w:t>
      </w:r>
    </w:p>
    <w:p>
      <w:pPr>
        <w:spacing w:before="80" w:after="160"/>
        <w:ind w:left="283"/>
        <w:shd w:val="clear" w:color="auto" w:fill="F2F2F2"/>
      </w:pPr>
      <w:r>
        <w:rPr>
          <w:rFonts w:ascii="Courier New" w:hAnsi="Courier New"/>
          <w:b w:val="0"/>
          <w:i w:val="0"/>
          <w:color w:val="1E1E1E"/>
          <w:sz w:val="18"/>
        </w:rPr>
        <w:t>Hub chain:     region treasury = me1xyz... (module account, no private key)</w:t>
        <w:br/>
        <w:t>IBC Transfer:  sender=me1xyz..., receiver=me1xyz...</w:t>
        <w:br/>
        <w:t>Dest chain:    funds arrive at address matching me1xyz... bech32</w:t>
        <w:br/>
        <w:t xml:space="preserve">               → module-derived address with NO private key on dest chain</w:t>
        <w:br/>
        <w:t xml:space="preserve">               → funds permanently locked = effectively BURNED</w:t>
      </w:r>
    </w:p>
    <w:p>
      <w:pPr>
        <w:spacing w:before="240" w:after="120"/>
      </w:pPr>
      <w:r>
        <w:rPr>
          <w:rFonts w:ascii="Calibri" w:hAnsi="Calibri"/>
          <w:b/>
          <w:i w:val="0"/>
          <w:color w:val="505050"/>
          <w:sz w:val="26"/>
        </w:rPr>
        <w:t>Suggested Fix</w:t>
      </w:r>
    </w:p>
    <w:p>
      <w:pPr>
        <w:spacing w:before="80" w:after="160"/>
        <w:ind w:left="283"/>
        <w:shd w:val="clear" w:color="auto" w:fill="F2F2F2"/>
      </w:pPr>
      <w:r>
        <w:rPr>
          <w:rFonts w:ascii="Courier New" w:hAnsi="Courier New"/>
          <w:b w:val="0"/>
          <w:i w:val="0"/>
          <w:color w:val="1E1E1E"/>
          <w:sz w:val="18"/>
        </w:rPr>
        <w:t>// Use msg.Receiver as the intended destination on the target chain</w:t>
        <w:br/>
        <w:t>receiver := msg.Receiver  // must be added to MsgIbcTransferFromRegionTreasure proto</w:t>
        <w:br/>
        <w:t>if receiver == "" {</w:t>
        <w:br/>
        <w:t xml:space="preserve">    return nil, sdkerrors.Wrap(sdkerrors.ErrInvalidRequest, "receiver cannot be empty")</w:t>
        <w:br/>
        <w:t>}</w:t>
        <w:br/>
        <w:t>_, err := k.IbcTransferKeeper.Transfer(ctx, ibctransfertypes.NewMsgTransfer(</w:t>
        <w:br/>
        <w:t xml:space="preserve">    msg.SourcePort, msg.SourceChannel, msg.Token,</w:t>
        <w:br/>
        <w:t xml:space="preserve">    treasureAddress,    // sender (correct)</w:t>
        <w:br/>
        <w:t xml:space="preserve">    receiver,           // receiver (fixed)</w:t>
        <w:br/>
        <w:t xml:space="preserve">    ...</w:t>
        <w:br/>
        <w:t>))</w:t>
      </w:r>
    </w:p>
    <w:p>
      <w:pPr>
        <w:spacing w:before="240" w:after="120"/>
      </w:pPr>
      <w:r>
        <w:rPr>
          <w:rFonts w:ascii="Calibri" w:hAnsi="Calibri"/>
          <w:b/>
          <w:i w:val="0"/>
          <w:color w:val="505050"/>
          <w:sz w:val="26"/>
        </w:rPr>
        <w:t>Impact</w:t>
      </w:r>
    </w:p>
    <w:tbl>
      <w:tblPr>
        <w:tblStyle w:val="TableGrid"/>
        <w:tblW w:type="auto" w:w="0"/>
        <w:tblLook w:firstColumn="1" w:firstRow="1" w:lastColumn="0" w:lastRow="0" w:noHBand="0" w:noVBand="1" w:val="04A0"/>
      </w:tblPr>
      <w:tblGrid>
        <w:gridCol w:w="4680"/>
        <w:gridCol w:w="4680"/>
      </w:tblGrid>
      <w:tr>
        <w:tc>
          <w:tcPr>
            <w:tcW w:type="dxa" w:w="2268"/>
          </w:tcPr>
          <w:p>
            <w:pPr>
              <w:shd w:val="clear" w:color="auto" w:fill="283593"/>
            </w:pPr>
            <w:r>
              <w:rPr>
                <w:rFonts w:ascii="Calibri" w:hAnsi="Calibri"/>
                <w:b/>
                <w:i w:val="0"/>
                <w:color w:val="FFFFFF"/>
                <w:sz w:val="20"/>
              </w:rPr>
              <w:t>Field</w:t>
            </w:r>
          </w:p>
        </w:tc>
        <w:tc>
          <w:tcPr>
            <w:tcW w:type="dxa" w:w="7370"/>
          </w:tcPr>
          <w:p>
            <w:pPr>
              <w:shd w:val="clear" w:color="auto" w:fill="283593"/>
            </w:pPr>
            <w:r>
              <w:rPr>
                <w:rFonts w:ascii="Calibri" w:hAnsi="Calibri"/>
                <w:b/>
                <w:i w:val="0"/>
                <w:color w:val="FFFFFF"/>
                <w:sz w:val="20"/>
              </w:rPr>
              <w:t>Detail</w:t>
            </w:r>
          </w:p>
        </w:tc>
      </w:tr>
      <w:tr>
        <w:tc>
          <w:tcPr>
            <w:tcW w:type="dxa" w:w="2268"/>
          </w:tcPr>
          <w:p>
            <w:r>
              <w:rPr>
                <w:rFonts w:ascii="Calibri" w:hAnsi="Calibri"/>
                <w:b/>
                <w:i w:val="0"/>
                <w:color w:val="1E1E78"/>
                <w:sz w:val="20"/>
              </w:rPr>
              <w:t>Severity</w:t>
            </w:r>
          </w:p>
        </w:tc>
        <w:tc>
          <w:tcPr>
            <w:tcW w:type="dxa" w:w="7370"/>
          </w:tcPr>
          <w:p>
            <w:r>
              <w:rPr>
                <w:rFonts w:ascii="Calibri" w:hAnsi="Calibri"/>
                <w:b w:val="0"/>
                <w:i w:val="0"/>
                <w:color w:val="141414"/>
                <w:sz w:val="20"/>
              </w:rPr>
              <w:t>HIGH</w:t>
            </w:r>
          </w:p>
        </w:tc>
      </w:tr>
      <w:tr>
        <w:tc>
          <w:tcPr>
            <w:tcW w:type="dxa" w:w="2268"/>
          </w:tcPr>
          <w:p>
            <w:r>
              <w:rPr>
                <w:rFonts w:ascii="Calibri" w:hAnsi="Calibri"/>
                <w:b/>
                <w:i w:val="0"/>
                <w:color w:val="1E1E78"/>
                <w:sz w:val="20"/>
              </w:rPr>
              <w:t>Module</w:t>
            </w:r>
          </w:p>
        </w:tc>
        <w:tc>
          <w:tcPr>
            <w:tcW w:type="dxa" w:w="7370"/>
          </w:tcPr>
          <w:p>
            <w:r>
              <w:rPr>
                <w:rFonts w:ascii="Calibri" w:hAnsi="Calibri"/>
                <w:b w:val="0"/>
                <w:i w:val="0"/>
                <w:color w:val="141414"/>
                <w:sz w:val="20"/>
              </w:rPr>
              <w:t>x/wstaking</w:t>
            </w:r>
          </w:p>
        </w:tc>
      </w:tr>
      <w:tr>
        <w:tc>
          <w:tcPr>
            <w:tcW w:type="dxa" w:w="2268"/>
          </w:tcPr>
          <w:p>
            <w:r>
              <w:rPr>
                <w:rFonts w:ascii="Calibri" w:hAnsi="Calibri"/>
                <w:b/>
                <w:i w:val="0"/>
                <w:color w:val="1E1E78"/>
                <w:sz w:val="20"/>
              </w:rPr>
              <w:t>Function</w:t>
            </w:r>
          </w:p>
        </w:tc>
        <w:tc>
          <w:tcPr>
            <w:tcW w:type="dxa" w:w="7370"/>
          </w:tcPr>
          <w:p>
            <w:r>
              <w:rPr>
                <w:rFonts w:ascii="Calibri" w:hAnsi="Calibri"/>
                <w:b w:val="0"/>
                <w:i w:val="0"/>
                <w:color w:val="141414"/>
                <w:sz w:val="20"/>
              </w:rPr>
              <w:t>IbcTransferFromRegionTreasure()</w:t>
            </w:r>
          </w:p>
        </w:tc>
      </w:tr>
      <w:tr>
        <w:tc>
          <w:tcPr>
            <w:tcW w:type="dxa" w:w="2268"/>
          </w:tcPr>
          <w:p>
            <w:r>
              <w:rPr>
                <w:rFonts w:ascii="Calibri" w:hAnsi="Calibri"/>
                <w:b/>
                <w:i w:val="0"/>
                <w:color w:val="1E1E78"/>
                <w:sz w:val="20"/>
              </w:rPr>
              <w:t>Impact</w:t>
            </w:r>
          </w:p>
        </w:tc>
        <w:tc>
          <w:tcPr>
            <w:tcW w:type="dxa" w:w="7370"/>
          </w:tcPr>
          <w:p>
            <w:r>
              <w:rPr>
                <w:rFonts w:ascii="Calibri" w:hAnsi="Calibri"/>
                <w:b w:val="0"/>
                <w:i w:val="0"/>
                <w:color w:val="141414"/>
                <w:sz w:val="20"/>
              </w:rPr>
              <w:t>All IBC transfers from region treasury go to uncontrolled address on destination chain — funds burned</w:t>
            </w:r>
          </w:p>
        </w:tc>
      </w:tr>
      <w:tr>
        <w:tc>
          <w:tcPr>
            <w:tcW w:type="dxa" w:w="2268"/>
          </w:tcPr>
          <w:p>
            <w:r>
              <w:rPr>
                <w:rFonts w:ascii="Calibri" w:hAnsi="Calibri"/>
                <w:b/>
                <w:i w:val="0"/>
                <w:color w:val="1E1E78"/>
                <w:sz w:val="20"/>
              </w:rPr>
              <w:t>Access Required</w:t>
            </w:r>
          </w:p>
        </w:tc>
        <w:tc>
          <w:tcPr>
            <w:tcW w:type="dxa" w:w="7370"/>
          </w:tcPr>
          <w:p>
            <w:r>
              <w:rPr>
                <w:rFonts w:ascii="Calibri" w:hAnsi="Calibri"/>
                <w:b w:val="0"/>
                <w:i w:val="0"/>
                <w:color w:val="141414"/>
                <w:sz w:val="20"/>
              </w:rPr>
              <w:t>GlobalDAO only</w:t>
            </w:r>
          </w:p>
        </w:tc>
      </w:tr>
      <w:tr>
        <w:tc>
          <w:tcPr>
            <w:tcW w:type="dxa" w:w="2268"/>
          </w:tcPr>
          <w:p>
            <w:r>
              <w:rPr>
                <w:rFonts w:ascii="Calibri" w:hAnsi="Calibri"/>
                <w:b/>
                <w:i w:val="0"/>
                <w:color w:val="1E1E78"/>
                <w:sz w:val="20"/>
              </w:rPr>
              <w:t>Reward Range</w:t>
            </w:r>
          </w:p>
        </w:tc>
        <w:tc>
          <w:tcPr>
            <w:tcW w:type="dxa" w:w="7370"/>
          </w:tcPr>
          <w:p>
            <w:r>
              <w:rPr>
                <w:rFonts w:ascii="Calibri" w:hAnsi="Calibri"/>
                <w:b w:val="0"/>
                <w:i w:val="0"/>
                <w:color w:val="141414"/>
                <w:sz w:val="20"/>
              </w:rPr>
              <w:t>$1,000 – $2,000 MEC</w:t>
            </w:r>
          </w:p>
        </w:tc>
      </w:tr>
    </w:tbl>
    <w:p>
      <w:r>
        <w:br w:type="page"/>
      </w:r>
    </w:p>
    <w:p>
      <w:pPr>
        <w:spacing w:before="240" w:after="120"/>
      </w:pPr>
      <w:r>
        <w:rPr>
          <w:rFonts w:ascii="Calibri" w:hAnsi="Calibri"/>
          <w:b/>
          <w:i w:val="0"/>
          <w:color w:val="F57F17"/>
          <w:sz w:val="40"/>
        </w:rPr>
        <w:t>Bug #8  [MEDIUM]  RemoveMeidNFT — Wrong Store Prefix → Regional Index Never Cleaned, Persistent Storage Leak</w:t>
      </w:r>
    </w:p>
    <w:p>
      <w:pPr>
        <w:spacing w:before="120" w:after="120"/>
        <w:pBdr>
          <w:bottom w:val="single" w:sz="6" w:space="1" w:color="283593"/>
        </w:pBdr>
      </w:pPr>
    </w:p>
    <w:p>
      <w:pPr>
        <w:spacing w:before="240" w:after="120"/>
      </w:pPr>
      <w:r>
        <w:rPr>
          <w:rFonts w:ascii="Calibri" w:hAnsi="Calibri"/>
          <w:b/>
          <w:i w:val="0"/>
          <w:color w:val="28288C"/>
          <w:sz w:val="32"/>
        </w:rPr>
        <w:t>Summary</w:t>
      </w:r>
    </w:p>
    <w:p>
      <w:pPr>
        <w:spacing w:after="120"/>
      </w:pPr>
      <w:r>
        <w:rPr>
          <w:rFonts w:ascii="Calibri" w:hAnsi="Calibri"/>
          <w:b w:val="0"/>
          <w:i w:val="0"/>
          <w:color w:val="000000"/>
          <w:sz w:val="22"/>
        </w:rPr>
        <w:t>SetMeidNFT writes the regional index under MeidNFTAccountKeyPrefix + regionId. RemoveMeidNFT deletes from MeidNFTAccountKeyPrefix + account (wrong prefix). These keys never match, so the regional index entry is NEVER removed. Every MeidNFT removal leaks one persistent index entry, accumulating indefinitely. Bonus: GetMeidNFTByAccount creates an iterator over the wrong prefix and then ignores it entirely — dead code.</w:t>
      </w:r>
    </w:p>
    <w:p>
      <w:pPr>
        <w:spacing w:before="240" w:after="120"/>
      </w:pPr>
      <w:r>
        <w:rPr>
          <w:rFonts w:ascii="Calibri" w:hAnsi="Calibri"/>
          <w:b/>
          <w:i w:val="0"/>
          <w:color w:val="505050"/>
          <w:sz w:val="26"/>
        </w:rPr>
        <w:t>The Key Mismatch</w:t>
      </w:r>
    </w:p>
    <w:p>
      <w:pPr>
        <w:spacing w:before="80" w:after="160"/>
        <w:ind w:left="283"/>
        <w:shd w:val="clear" w:color="auto" w:fill="F2F2F2"/>
      </w:pPr>
      <w:r>
        <w:rPr>
          <w:rFonts w:ascii="Courier New" w:hAnsi="Courier New"/>
          <w:b w:val="0"/>
          <w:i w:val="0"/>
          <w:color w:val="1E1E1E"/>
          <w:sz w:val="18"/>
        </w:rPr>
        <w:t>// SetMeidNFT — writes index with: MeidNFTAccountKeyPrefix + regionId  ✅</w:t>
        <w:br/>
        <w:t>storeReg := prefix.NewStore(..., types.KeyPrefix(types.MeidNFTAccountKeyPrefix + meidNFT.RegionId))</w:t>
        <w:br/>
        <w:t>storeReg.Set(types.MeidNFTKey(meidNFT.Account), []byte(meidNFT.Account))</w:t>
        <w:br/>
        <w:br/>
        <w:t>// RemoveMeidNFT — deletes from: MeidNFTAccountKeyPrefix + account  ⚠️ WRONG</w:t>
        <w:br/>
        <w:t>storeReg := prefix.NewStore(..., types.KeyPrefix(types.MeidNFTAccountKeyPrefix + account))</w:t>
        <w:br/>
        <w:t>storeReg.Delete(types.MeidNFTKey(account))  // deletes NOTHING — wrong prefix</w:t>
      </w:r>
    </w:p>
    <w:p>
      <w:pPr>
        <w:spacing w:before="240" w:after="120"/>
      </w:pPr>
      <w:r>
        <w:rPr>
          <w:rFonts w:ascii="Calibri" w:hAnsi="Calibri"/>
          <w:b/>
          <w:i w:val="0"/>
          <w:color w:val="505050"/>
          <w:sz w:val="26"/>
        </w:rPr>
        <w:t>Correct Reference — RemoveMeid (companion function)</w:t>
      </w:r>
    </w:p>
    <w:p>
      <w:pPr>
        <w:spacing w:before="80" w:after="160"/>
        <w:ind w:left="283"/>
        <w:shd w:val="clear" w:color="auto" w:fill="F2F2F2"/>
      </w:pPr>
      <w:r>
        <w:rPr>
          <w:rFonts w:ascii="Courier New" w:hAnsi="Courier New"/>
          <w:b w:val="0"/>
          <w:i w:val="0"/>
          <w:color w:val="1E1E1E"/>
          <w:sz w:val="18"/>
        </w:rPr>
        <w:t>// meid.go — CORRECT implementation for comparison:</w:t>
        <w:br/>
        <w:t>func (k Keeper) RemoveMeid(ctx sdk.Context, account, regionid string) {</w:t>
        <w:br/>
        <w:t xml:space="preserve">    store := prefix.NewStore(ctx.KVStore(k.storeKey), types.KeyPrefix(types.MeidKeyPrefix))</w:t>
        <w:br/>
        <w:t xml:space="preserve">    store.Delete(types.MeidKey(account))</w:t>
        <w:br/>
        <w:t xml:space="preserve">    // ✅ Uses regionid:</w:t>
        <w:br/>
        <w:t xml:space="preserve">    storeReg := prefix.NewStore(..., types.KeyPrefix(types.MeidRegionKeyPrefix + regionid))</w:t>
        <w:br/>
        <w:t xml:space="preserve">    storeReg.Delete(types.MeidKey(account))</w:t>
        <w:br/>
        <w:t>}</w:t>
      </w:r>
    </w:p>
    <w:p>
      <w:pPr>
        <w:spacing w:before="240" w:after="120"/>
      </w:pPr>
      <w:r>
        <w:rPr>
          <w:rFonts w:ascii="Calibri" w:hAnsi="Calibri"/>
          <w:b/>
          <w:i w:val="0"/>
          <w:color w:val="505050"/>
          <w:sz w:val="26"/>
        </w:rPr>
        <w:t>Suggested Fix</w:t>
      </w:r>
    </w:p>
    <w:p>
      <w:pPr>
        <w:spacing w:before="80" w:after="160"/>
        <w:ind w:left="283"/>
        <w:shd w:val="clear" w:color="auto" w:fill="F2F2F2"/>
      </w:pPr>
      <w:r>
        <w:rPr>
          <w:rFonts w:ascii="Courier New" w:hAnsi="Courier New"/>
          <w:b w:val="0"/>
          <w:i w:val="0"/>
          <w:color w:val="1E1E1E"/>
          <w:sz w:val="18"/>
        </w:rPr>
        <w:t>func (k Keeper) RemoveMeidNFT(ctx sdk.Context, account, regionId string) {</w:t>
        <w:br/>
        <w:t xml:space="preserve">    store := prefix.NewStore(ctx.KVStore(k.storeKey), types.KeyPrefix(types.MeidNFTKeyPrefix))</w:t>
        <w:br/>
        <w:t xml:space="preserve">    store.Delete(types.MeidNFTKey(account))</w:t>
        <w:br/>
        <w:br/>
        <w:t xml:space="preserve">    // FIX: use regionId (not account) to match the SetMeidNFT prefix</w:t>
        <w:br/>
        <w:t xml:space="preserve">    storeReg := prefix.NewStore(ctx.KVStore(k.storeKey),</w:t>
        <w:br/>
        <w:t xml:space="preserve">        types.KeyPrefix(types.MeidNFTAccountKeyPrefix + regionId))  // ← regionId</w:t>
        <w:br/>
        <w:t xml:space="preserve">    storeReg.Delete(types.MeidNFTKey(account))</w:t>
        <w:br/>
        <w:t>}</w:t>
      </w:r>
    </w:p>
    <w:p>
      <w:pPr>
        <w:spacing w:before="240" w:after="120"/>
      </w:pPr>
      <w:r>
        <w:rPr>
          <w:rFonts w:ascii="Calibri" w:hAnsi="Calibri"/>
          <w:b/>
          <w:i w:val="0"/>
          <w:color w:val="505050"/>
          <w:sz w:val="26"/>
        </w:rPr>
        <w:t>Impact</w:t>
      </w:r>
    </w:p>
    <w:tbl>
      <w:tblPr>
        <w:tblStyle w:val="TableGrid"/>
        <w:tblW w:type="auto" w:w="0"/>
        <w:tblLook w:firstColumn="1" w:firstRow="1" w:lastColumn="0" w:lastRow="0" w:noHBand="0" w:noVBand="1" w:val="04A0"/>
      </w:tblPr>
      <w:tblGrid>
        <w:gridCol w:w="4680"/>
        <w:gridCol w:w="4680"/>
      </w:tblGrid>
      <w:tr>
        <w:tc>
          <w:tcPr>
            <w:tcW w:type="dxa" w:w="2268"/>
          </w:tcPr>
          <w:p>
            <w:pPr>
              <w:shd w:val="clear" w:color="auto" w:fill="283593"/>
            </w:pPr>
            <w:r>
              <w:rPr>
                <w:rFonts w:ascii="Calibri" w:hAnsi="Calibri"/>
                <w:b/>
                <w:i w:val="0"/>
                <w:color w:val="FFFFFF"/>
                <w:sz w:val="20"/>
              </w:rPr>
              <w:t>Field</w:t>
            </w:r>
          </w:p>
        </w:tc>
        <w:tc>
          <w:tcPr>
            <w:tcW w:type="dxa" w:w="7370"/>
          </w:tcPr>
          <w:p>
            <w:pPr>
              <w:shd w:val="clear" w:color="auto" w:fill="283593"/>
            </w:pPr>
            <w:r>
              <w:rPr>
                <w:rFonts w:ascii="Calibri" w:hAnsi="Calibri"/>
                <w:b/>
                <w:i w:val="0"/>
                <w:color w:val="FFFFFF"/>
                <w:sz w:val="20"/>
              </w:rPr>
              <w:t>Detail</w:t>
            </w:r>
          </w:p>
        </w:tc>
      </w:tr>
      <w:tr>
        <w:tc>
          <w:tcPr>
            <w:tcW w:type="dxa" w:w="2268"/>
          </w:tcPr>
          <w:p>
            <w:r>
              <w:rPr>
                <w:rFonts w:ascii="Calibri" w:hAnsi="Calibri"/>
                <w:b/>
                <w:i w:val="0"/>
                <w:color w:val="1E1E78"/>
                <w:sz w:val="20"/>
              </w:rPr>
              <w:t>Severity</w:t>
            </w:r>
          </w:p>
        </w:tc>
        <w:tc>
          <w:tcPr>
            <w:tcW w:type="dxa" w:w="7370"/>
          </w:tcPr>
          <w:p>
            <w:r>
              <w:rPr>
                <w:rFonts w:ascii="Calibri" w:hAnsi="Calibri"/>
                <w:b w:val="0"/>
                <w:i w:val="0"/>
                <w:color w:val="141414"/>
                <w:sz w:val="20"/>
              </w:rPr>
              <w:t>MEDIUM</w:t>
            </w:r>
          </w:p>
        </w:tc>
      </w:tr>
      <w:tr>
        <w:tc>
          <w:tcPr>
            <w:tcW w:type="dxa" w:w="2268"/>
          </w:tcPr>
          <w:p>
            <w:r>
              <w:rPr>
                <w:rFonts w:ascii="Calibri" w:hAnsi="Calibri"/>
                <w:b/>
                <w:i w:val="0"/>
                <w:color w:val="1E1E78"/>
                <w:sz w:val="20"/>
              </w:rPr>
              <w:t>Module</w:t>
            </w:r>
          </w:p>
        </w:tc>
        <w:tc>
          <w:tcPr>
            <w:tcW w:type="dxa" w:w="7370"/>
          </w:tcPr>
          <w:p>
            <w:r>
              <w:rPr>
                <w:rFonts w:ascii="Calibri" w:hAnsi="Calibri"/>
                <w:b w:val="0"/>
                <w:i w:val="0"/>
                <w:color w:val="141414"/>
                <w:sz w:val="20"/>
              </w:rPr>
              <w:t>x/wstaking</w:t>
            </w:r>
          </w:p>
        </w:tc>
      </w:tr>
      <w:tr>
        <w:tc>
          <w:tcPr>
            <w:tcW w:type="dxa" w:w="2268"/>
          </w:tcPr>
          <w:p>
            <w:r>
              <w:rPr>
                <w:rFonts w:ascii="Calibri" w:hAnsi="Calibri"/>
                <w:b/>
                <w:i w:val="0"/>
                <w:color w:val="1E1E78"/>
                <w:sz w:val="20"/>
              </w:rPr>
              <w:t>Functions</w:t>
            </w:r>
          </w:p>
        </w:tc>
        <w:tc>
          <w:tcPr>
            <w:tcW w:type="dxa" w:w="7370"/>
          </w:tcPr>
          <w:p>
            <w:r>
              <w:rPr>
                <w:rFonts w:ascii="Calibri" w:hAnsi="Calibri"/>
                <w:b w:val="0"/>
                <w:i w:val="0"/>
                <w:color w:val="141414"/>
                <w:sz w:val="20"/>
              </w:rPr>
              <w:t>RemoveMeidNFT(), GetMeidNFTByAccount()</w:t>
            </w:r>
          </w:p>
        </w:tc>
      </w:tr>
      <w:tr>
        <w:tc>
          <w:tcPr>
            <w:tcW w:type="dxa" w:w="2268"/>
          </w:tcPr>
          <w:p>
            <w:r>
              <w:rPr>
                <w:rFonts w:ascii="Calibri" w:hAnsi="Calibri"/>
                <w:b/>
                <w:i w:val="0"/>
                <w:color w:val="1E1E78"/>
                <w:sz w:val="20"/>
              </w:rPr>
              <w:t>Impact</w:t>
            </w:r>
          </w:p>
        </w:tc>
        <w:tc>
          <w:tcPr>
            <w:tcW w:type="dxa" w:w="7370"/>
          </w:tcPr>
          <w:p>
            <w:r>
              <w:rPr>
                <w:rFonts w:ascii="Calibri" w:hAnsi="Calibri"/>
                <w:b w:val="0"/>
                <w:i w:val="0"/>
                <w:color w:val="141414"/>
                <w:sz w:val="20"/>
              </w:rPr>
              <w:t>Permanent KV-store index leak; stale entries accumulate per NFT removal; region NFT queries return phantom data</w:t>
            </w:r>
          </w:p>
        </w:tc>
      </w:tr>
      <w:tr>
        <w:tc>
          <w:tcPr>
            <w:tcW w:type="dxa" w:w="2268"/>
          </w:tcPr>
          <w:p>
            <w:r>
              <w:rPr>
                <w:rFonts w:ascii="Calibri" w:hAnsi="Calibri"/>
                <w:b/>
                <w:i w:val="0"/>
                <w:color w:val="1E1E78"/>
                <w:sz w:val="20"/>
              </w:rPr>
              <w:t>Reward Range</w:t>
            </w:r>
          </w:p>
        </w:tc>
        <w:tc>
          <w:tcPr>
            <w:tcW w:type="dxa" w:w="7370"/>
          </w:tcPr>
          <w:p>
            <w:r>
              <w:rPr>
                <w:rFonts w:ascii="Calibri" w:hAnsi="Calibri"/>
                <w:b w:val="0"/>
                <w:i w:val="0"/>
                <w:color w:val="141414"/>
                <w:sz w:val="20"/>
              </w:rPr>
              <w:t>$100 – $1,000 MEC</w:t>
            </w:r>
          </w:p>
        </w:tc>
      </w:tr>
    </w:tbl>
    <w:p>
      <w:r>
        <w:br w:type="page"/>
      </w:r>
    </w:p>
    <w:p>
      <w:pPr>
        <w:spacing w:before="240" w:after="120"/>
      </w:pPr>
      <w:r>
        <w:rPr>
          <w:rFonts w:ascii="Calibri" w:hAnsi="Calibri"/>
          <w:b/>
          <w:i w:val="0"/>
          <w:color w:val="F57F17"/>
          <w:sz w:val="40"/>
        </w:rPr>
        <w:t>Bug #9  [MEDIUM]  SetFixedDepositCfgRate — Rate Change Silently Locks Existing Depositors from KYC Region Migration</w:t>
      </w:r>
    </w:p>
    <w:p>
      <w:pPr>
        <w:spacing w:before="120" w:after="120"/>
        <w:pBdr>
          <w:bottom w:val="single" w:sz="6" w:space="1" w:color="283593"/>
        </w:pBdr>
      </w:pPr>
    </w:p>
    <w:p>
      <w:pPr>
        <w:spacing w:before="240" w:after="120"/>
      </w:pPr>
      <w:r>
        <w:rPr>
          <w:rFonts w:ascii="Calibri" w:hAnsi="Calibri"/>
          <w:b/>
          <w:i w:val="0"/>
          <w:color w:val="28288C"/>
          <w:sz w:val="32"/>
        </w:rPr>
        <w:t>Summary</w:t>
      </w:r>
    </w:p>
    <w:p>
      <w:pPr>
        <w:spacing w:after="120"/>
      </w:pPr>
      <w:r>
        <w:rPr>
          <w:rFonts w:ascii="Calibri" w:hAnsi="Calibri"/>
          <w:b w:val="0"/>
          <w:i w:val="0"/>
          <w:color w:val="000000"/>
          <w:sz w:val="22"/>
        </w:rPr>
        <w:t>SetFixedDepositCfgRate allows GlobalDAO to change a FixedDepositCfg rate without checking for active deposits at the current rate. After a rate change, any user with a deposit at the old rate cannot change their KYC region (transferDeposit requires rates to match between old deposit and new region config). Users are permanently locked in their current region until all deposits expire, with no warning or on-chain explanation.</w:t>
      </w:r>
    </w:p>
    <w:p>
      <w:pPr>
        <w:spacing w:before="240" w:after="120"/>
      </w:pPr>
      <w:r>
        <w:rPr>
          <w:rFonts w:ascii="Calibri" w:hAnsi="Calibri"/>
          <w:b/>
          <w:i w:val="0"/>
          <w:color w:val="505050"/>
          <w:sz w:val="26"/>
        </w:rPr>
        <w:t>Lock Scenario</w:t>
      </w:r>
    </w:p>
    <w:p>
      <w:pPr>
        <w:spacing w:before="80" w:after="160"/>
        <w:ind w:left="283"/>
        <w:shd w:val="clear" w:color="auto" w:fill="F2F2F2"/>
      </w:pPr>
      <w:r>
        <w:rPr>
          <w:rFonts w:ascii="Courier New" w:hAnsi="Courier New"/>
          <w:b w:val="0"/>
          <w:i w:val="0"/>
          <w:color w:val="1E1E1E"/>
          <w:sz w:val="18"/>
        </w:rPr>
        <w:t>Initial: REGION_A and REGION_B both have cfg{term=30, rate=0.10}</w:t>
        <w:br/>
        <w:t>User Alice has active FixedDeposit{term=30, rate=0.10} in REGION_A</w:t>
        <w:br/>
        <w:br/>
        <w:t>Step 1: GlobalDAO changes REGION_B rate to 0.08</w:t>
        <w:br/>
        <w:t>Step 2: Alice tries MsgUpdate to migrate to REGION_B</w:t>
        <w:br/>
        <w:t xml:space="preserve">  → transferDeposit: fixed.Rate=0.10, config.Rate=0.08</w:t>
        <w:br/>
        <w:t xml:space="preserve">  → !rate.Equal(fixed.Rate) → ERROR: "deposit cfg not same"</w:t>
        <w:br/>
        <w:t xml:space="preserve">  → Alice CANNOT migrate to REGION_B</w:t>
        <w:br/>
        <w:br/>
        <w:t>Result: Alice permanently locked in REGION_A for up to 30 days</w:t>
        <w:br/>
        <w:t xml:space="preserve">        with no on-chain explanation of why</w:t>
      </w:r>
    </w:p>
    <w:p>
      <w:pPr>
        <w:spacing w:before="240" w:after="120"/>
      </w:pPr>
      <w:r>
        <w:rPr>
          <w:rFonts w:ascii="Calibri" w:hAnsi="Calibri"/>
          <w:b/>
          <w:i w:val="0"/>
          <w:color w:val="505050"/>
          <w:sz w:val="26"/>
        </w:rPr>
        <w:t>Suggested Fix</w:t>
      </w:r>
    </w:p>
    <w:p>
      <w:pPr>
        <w:spacing w:before="80" w:after="160"/>
        <w:ind w:left="283"/>
        <w:shd w:val="clear" w:color="auto" w:fill="F2F2F2"/>
      </w:pPr>
      <w:r>
        <w:rPr>
          <w:rFonts w:ascii="Courier New" w:hAnsi="Courier New"/>
          <w:b w:val="0"/>
          <w:i w:val="0"/>
          <w:color w:val="1E1E1E"/>
          <w:sz w:val="18"/>
        </w:rPr>
        <w:t>func (k MsgServer) SetFixedDepositCfgRate(...) (...) {</w:t>
        <w:br/>
        <w:t xml:space="preserve">    // FIX: block rate change when active deposits exist at current rate</w:t>
        <w:br/>
        <w:t xml:space="preserve">    activeCount := k.GetFixedDepositCountOfCfg(ctx, msg.RegionId, msg.Term)</w:t>
        <w:br/>
        <w:t xml:space="preserve">    if activeCount &gt; 0 {</w:t>
        <w:br/>
        <w:t xml:space="preserve">        return nil, types.ErrSetFixedDepositConfigRate.Wrapf(</w:t>
        <w:br/>
        <w:t xml:space="preserve">            "cannot change rate: %d active deposits exist at current rate "+</w:t>
        <w:br/>
        <w:t xml:space="preserve">            "(depositors would be locked from region transfers)", activeCount)</w:t>
        <w:br/>
        <w:t xml:space="preserve">    }</w:t>
        <w:br/>
        <w:t xml:space="preserve">    config.Rate = msg.Rate</w:t>
        <w:br/>
        <w:t xml:space="preserve">    k.Keeper.SetFixedDepositCfg(ctx, config)</w:t>
        <w:br/>
        <w:t>}</w:t>
      </w:r>
    </w:p>
    <w:p>
      <w:pPr>
        <w:spacing w:before="240" w:after="120"/>
      </w:pPr>
      <w:r>
        <w:rPr>
          <w:rFonts w:ascii="Calibri" w:hAnsi="Calibri"/>
          <w:b/>
          <w:i w:val="0"/>
          <w:color w:val="505050"/>
          <w:sz w:val="26"/>
        </w:rPr>
        <w:t>Impact</w:t>
      </w:r>
    </w:p>
    <w:tbl>
      <w:tblPr>
        <w:tblStyle w:val="TableGrid"/>
        <w:tblW w:type="auto" w:w="0"/>
        <w:tblLook w:firstColumn="1" w:firstRow="1" w:lastColumn="0" w:lastRow="0" w:noHBand="0" w:noVBand="1" w:val="04A0"/>
      </w:tblPr>
      <w:tblGrid>
        <w:gridCol w:w="4680"/>
        <w:gridCol w:w="4680"/>
      </w:tblGrid>
      <w:tr>
        <w:tc>
          <w:tcPr>
            <w:tcW w:type="dxa" w:w="2268"/>
          </w:tcPr>
          <w:p>
            <w:pPr>
              <w:shd w:val="clear" w:color="auto" w:fill="283593"/>
            </w:pPr>
            <w:r>
              <w:rPr>
                <w:rFonts w:ascii="Calibri" w:hAnsi="Calibri"/>
                <w:b/>
                <w:i w:val="0"/>
                <w:color w:val="FFFFFF"/>
                <w:sz w:val="20"/>
              </w:rPr>
              <w:t>Field</w:t>
            </w:r>
          </w:p>
        </w:tc>
        <w:tc>
          <w:tcPr>
            <w:tcW w:type="dxa" w:w="7370"/>
          </w:tcPr>
          <w:p>
            <w:pPr>
              <w:shd w:val="clear" w:color="auto" w:fill="283593"/>
            </w:pPr>
            <w:r>
              <w:rPr>
                <w:rFonts w:ascii="Calibri" w:hAnsi="Calibri"/>
                <w:b/>
                <w:i w:val="0"/>
                <w:color w:val="FFFFFF"/>
                <w:sz w:val="20"/>
              </w:rPr>
              <w:t>Detail</w:t>
            </w:r>
          </w:p>
        </w:tc>
      </w:tr>
      <w:tr>
        <w:tc>
          <w:tcPr>
            <w:tcW w:type="dxa" w:w="2268"/>
          </w:tcPr>
          <w:p>
            <w:r>
              <w:rPr>
                <w:rFonts w:ascii="Calibri" w:hAnsi="Calibri"/>
                <w:b/>
                <w:i w:val="0"/>
                <w:color w:val="1E1E78"/>
                <w:sz w:val="20"/>
              </w:rPr>
              <w:t>Severity</w:t>
            </w:r>
          </w:p>
        </w:tc>
        <w:tc>
          <w:tcPr>
            <w:tcW w:type="dxa" w:w="7370"/>
          </w:tcPr>
          <w:p>
            <w:r>
              <w:rPr>
                <w:rFonts w:ascii="Calibri" w:hAnsi="Calibri"/>
                <w:b w:val="0"/>
                <w:i w:val="0"/>
                <w:color w:val="141414"/>
                <w:sz w:val="20"/>
              </w:rPr>
              <w:t>MEDIUM</w:t>
            </w:r>
          </w:p>
        </w:tc>
      </w:tr>
      <w:tr>
        <w:tc>
          <w:tcPr>
            <w:tcW w:type="dxa" w:w="2268"/>
          </w:tcPr>
          <w:p>
            <w:r>
              <w:rPr>
                <w:rFonts w:ascii="Calibri" w:hAnsi="Calibri"/>
                <w:b/>
                <w:i w:val="0"/>
                <w:color w:val="1E1E78"/>
                <w:sz w:val="20"/>
              </w:rPr>
              <w:t>Module</w:t>
            </w:r>
          </w:p>
        </w:tc>
        <w:tc>
          <w:tcPr>
            <w:tcW w:type="dxa" w:w="7370"/>
          </w:tcPr>
          <w:p>
            <w:r>
              <w:rPr>
                <w:rFonts w:ascii="Calibri" w:hAnsi="Calibri"/>
                <w:b w:val="0"/>
                <w:i w:val="0"/>
                <w:color w:val="141414"/>
                <w:sz w:val="20"/>
              </w:rPr>
              <w:t>x/wstaking</w:t>
            </w:r>
          </w:p>
        </w:tc>
      </w:tr>
      <w:tr>
        <w:tc>
          <w:tcPr>
            <w:tcW w:type="dxa" w:w="2268"/>
          </w:tcPr>
          <w:p>
            <w:r>
              <w:rPr>
                <w:rFonts w:ascii="Calibri" w:hAnsi="Calibri"/>
                <w:b/>
                <w:i w:val="0"/>
                <w:color w:val="1E1E78"/>
                <w:sz w:val="20"/>
              </w:rPr>
              <w:t>Trigger</w:t>
            </w:r>
          </w:p>
        </w:tc>
        <w:tc>
          <w:tcPr>
            <w:tcW w:type="dxa" w:w="7370"/>
          </w:tcPr>
          <w:p>
            <w:r>
              <w:rPr>
                <w:rFonts w:ascii="Calibri" w:hAnsi="Calibri"/>
                <w:b w:val="0"/>
                <w:i w:val="0"/>
                <w:color w:val="141414"/>
                <w:sz w:val="20"/>
              </w:rPr>
              <w:t>GlobalDAO changes any FixedDepositCfg rate while users have active deposits</w:t>
            </w:r>
          </w:p>
        </w:tc>
      </w:tr>
      <w:tr>
        <w:tc>
          <w:tcPr>
            <w:tcW w:type="dxa" w:w="2268"/>
          </w:tcPr>
          <w:p>
            <w:r>
              <w:rPr>
                <w:rFonts w:ascii="Calibri" w:hAnsi="Calibri"/>
                <w:b/>
                <w:i w:val="0"/>
                <w:color w:val="1E1E78"/>
                <w:sz w:val="20"/>
              </w:rPr>
              <w:t>Impact</w:t>
            </w:r>
          </w:p>
        </w:tc>
        <w:tc>
          <w:tcPr>
            <w:tcW w:type="dxa" w:w="7370"/>
          </w:tcPr>
          <w:p>
            <w:r>
              <w:rPr>
                <w:rFonts w:ascii="Calibri" w:hAnsi="Calibri"/>
                <w:b w:val="0"/>
                <w:i w:val="0"/>
                <w:color w:val="141414"/>
                <w:sz w:val="20"/>
              </w:rPr>
              <w:t>Affected users permanently blocked from KYC region transfers until deposits expire; no warning</w:t>
            </w:r>
          </w:p>
        </w:tc>
      </w:tr>
      <w:tr>
        <w:tc>
          <w:tcPr>
            <w:tcW w:type="dxa" w:w="2268"/>
          </w:tcPr>
          <w:p>
            <w:r>
              <w:rPr>
                <w:rFonts w:ascii="Calibri" w:hAnsi="Calibri"/>
                <w:b/>
                <w:i w:val="0"/>
                <w:color w:val="1E1E78"/>
                <w:sz w:val="20"/>
              </w:rPr>
              <w:t>Reward Range</w:t>
            </w:r>
          </w:p>
        </w:tc>
        <w:tc>
          <w:tcPr>
            <w:tcW w:type="dxa" w:w="7370"/>
          </w:tcPr>
          <w:p>
            <w:r>
              <w:rPr>
                <w:rFonts w:ascii="Calibri" w:hAnsi="Calibri"/>
                <w:b w:val="0"/>
                <w:i w:val="0"/>
                <w:color w:val="141414"/>
                <w:sz w:val="20"/>
              </w:rPr>
              <w:t>$100 – $1,000 MEC</w:t>
            </w:r>
          </w:p>
        </w:tc>
      </w:tr>
    </w:tbl>
    <w:p>
      <w:r>
        <w:br w:type="page"/>
      </w:r>
    </w:p>
    <w:p>
      <w:pPr>
        <w:spacing w:before="240" w:after="120"/>
      </w:pPr>
      <w:r>
        <w:rPr>
          <w:rFonts w:ascii="Calibri" w:hAnsi="Calibri"/>
          <w:b/>
          <w:i w:val="0"/>
          <w:color w:val="F57F17"/>
          <w:sz w:val="40"/>
        </w:rPr>
        <w:t>Bug #10  [MEDIUM]  UpdateValidatorPubKey — Old Slashing SigningInfo Never Deleted → Storage Leak</w:t>
      </w:r>
    </w:p>
    <w:p>
      <w:pPr>
        <w:spacing w:before="120" w:after="120"/>
        <w:pBdr>
          <w:bottom w:val="single" w:sz="6" w:space="1" w:color="283593"/>
        </w:pBdr>
      </w:pPr>
    </w:p>
    <w:p>
      <w:pPr>
        <w:spacing w:before="240" w:after="120"/>
      </w:pPr>
      <w:r>
        <w:rPr>
          <w:rFonts w:ascii="Calibri" w:hAnsi="Calibri"/>
          <w:b/>
          <w:i w:val="0"/>
          <w:color w:val="28288C"/>
          <w:sz w:val="32"/>
        </w:rPr>
        <w:t>Summary</w:t>
      </w:r>
    </w:p>
    <w:p>
      <w:pPr>
        <w:spacing w:after="120"/>
      </w:pPr>
      <w:r>
        <w:rPr>
          <w:rFonts w:ascii="Calibri" w:hAnsi="Calibri"/>
          <w:b w:val="0"/>
          <w:i w:val="0"/>
          <w:color w:val="000000"/>
          <w:sz w:val="22"/>
        </w:rPr>
        <w:t>When a validator replaces its consensus public key via MsgReplaceConsensusPubKey, the UpdateValidatorPubKey function removes the old consensus address from the staking module's ValidatorByConsAddr index but never deletes the corresponding ValidatorSigningInfo from the slashing module. Each key rotation permanently leaks one signing info entry. The slashing module's iterator will encounter these stale entries indefinitely.</w:t>
      </w:r>
    </w:p>
    <w:p>
      <w:pPr>
        <w:spacing w:before="240" w:after="120"/>
      </w:pPr>
      <w:r>
        <w:rPr>
          <w:rFonts w:ascii="Calibri" w:hAnsi="Calibri"/>
          <w:b/>
          <w:i w:val="0"/>
          <w:color w:val="505050"/>
          <w:sz w:val="26"/>
        </w:rPr>
        <w:t>Vulnerable Code</w:t>
      </w:r>
    </w:p>
    <w:p>
      <w:pPr>
        <w:spacing w:before="80" w:after="160"/>
        <w:ind w:left="283"/>
        <w:shd w:val="clear" w:color="auto" w:fill="F2F2F2"/>
      </w:pPr>
      <w:r>
        <w:rPr>
          <w:rFonts w:ascii="Courier New" w:hAnsi="Courier New"/>
          <w:b w:val="0"/>
          <w:i w:val="0"/>
          <w:color w:val="1E1E1E"/>
          <w:sz w:val="18"/>
        </w:rPr>
        <w:t>// At UpdateAtHeight + 2: staking cleanup done, but slashing NOT cleaned</w:t>
        <w:br/>
        <w:t>} else if ctx.BlockHeight() == (updateInfo.UpdateAtHeight + 2) {</w:t>
        <w:br/>
        <w:t xml:space="preserve">    k.RemoveValidatorByConsAddr(ctx, sdk.ConsAddress(updateInfo.OldConsAddress))</w:t>
        <w:br/>
        <w:t xml:space="preserve">    // ✅ Removes from staking ValidatorByConsAddr index</w:t>
        <w:br/>
        <w:t xml:space="preserve">    // ⚠️ MISSING: k.slashingKeeper.DeleteValidatorSigningInfo(ctx, oldConsAddr)</w:t>
        <w:br/>
        <w:t xml:space="preserve">    k.DeleteReplaceConsensusPubKey(ctx)</w:t>
        <w:br/>
        <w:t>}</w:t>
      </w:r>
    </w:p>
    <w:p>
      <w:pPr>
        <w:spacing w:before="240" w:after="120"/>
      </w:pPr>
      <w:r>
        <w:rPr>
          <w:rFonts w:ascii="Calibri" w:hAnsi="Calibri"/>
          <w:b/>
          <w:i w:val="0"/>
          <w:color w:val="505050"/>
          <w:sz w:val="26"/>
        </w:rPr>
        <w:t>Suggested Fix</w:t>
      </w:r>
    </w:p>
    <w:p>
      <w:pPr>
        <w:spacing w:before="80" w:after="160"/>
        <w:ind w:left="283"/>
        <w:shd w:val="clear" w:color="auto" w:fill="F2F2F2"/>
      </w:pPr>
      <w:r>
        <w:rPr>
          <w:rFonts w:ascii="Courier New" w:hAnsi="Courier New"/>
          <w:b w:val="0"/>
          <w:i w:val="0"/>
          <w:color w:val="1E1E1E"/>
          <w:sz w:val="18"/>
        </w:rPr>
        <w:t>} else if ctx.BlockHeight() == (updateInfo.UpdateAtHeight + 2) {</w:t>
        <w:br/>
        <w:t xml:space="preserve">    oldConsAddr := sdk.ConsAddress(updateInfo.OldConsAddress)</w:t>
        <w:br/>
        <w:br/>
        <w:t xml:space="preserve">    // Existing cleanup (staking module)</w:t>
        <w:br/>
        <w:t xml:space="preserve">    k.RemoveValidatorByConsAddr(ctx, oldConsAddr)</w:t>
        <w:br/>
        <w:br/>
        <w:t xml:space="preserve">    // FIX: also clean slashing module signing info</w:t>
        <w:br/>
        <w:t xml:space="preserve">    k.slashingKeeper.DeleteValidatorSigningInfo(ctx, oldConsAddr)</w:t>
        <w:br/>
        <w:br/>
        <w:t xml:space="preserve">    k.DeleteReplaceConsensusPubKey(ctx)</w:t>
        <w:br/>
        <w:t>}</w:t>
      </w:r>
    </w:p>
    <w:p>
      <w:pPr>
        <w:spacing w:before="240" w:after="120"/>
      </w:pPr>
      <w:r>
        <w:rPr>
          <w:rFonts w:ascii="Calibri" w:hAnsi="Calibri"/>
          <w:b/>
          <w:i w:val="0"/>
          <w:color w:val="505050"/>
          <w:sz w:val="26"/>
        </w:rPr>
        <w:t>Impact</w:t>
      </w:r>
    </w:p>
    <w:tbl>
      <w:tblPr>
        <w:tblStyle w:val="TableGrid"/>
        <w:tblW w:type="auto" w:w="0"/>
        <w:tblLook w:firstColumn="1" w:firstRow="1" w:lastColumn="0" w:lastRow="0" w:noHBand="0" w:noVBand="1" w:val="04A0"/>
      </w:tblPr>
      <w:tblGrid>
        <w:gridCol w:w="4680"/>
        <w:gridCol w:w="4680"/>
      </w:tblGrid>
      <w:tr>
        <w:tc>
          <w:tcPr>
            <w:tcW w:type="dxa" w:w="2268"/>
          </w:tcPr>
          <w:p>
            <w:pPr>
              <w:shd w:val="clear" w:color="auto" w:fill="283593"/>
            </w:pPr>
            <w:r>
              <w:rPr>
                <w:rFonts w:ascii="Calibri" w:hAnsi="Calibri"/>
                <w:b/>
                <w:i w:val="0"/>
                <w:color w:val="FFFFFF"/>
                <w:sz w:val="20"/>
              </w:rPr>
              <w:t>Field</w:t>
            </w:r>
          </w:p>
        </w:tc>
        <w:tc>
          <w:tcPr>
            <w:tcW w:type="dxa" w:w="7370"/>
          </w:tcPr>
          <w:p>
            <w:pPr>
              <w:shd w:val="clear" w:color="auto" w:fill="283593"/>
            </w:pPr>
            <w:r>
              <w:rPr>
                <w:rFonts w:ascii="Calibri" w:hAnsi="Calibri"/>
                <w:b/>
                <w:i w:val="0"/>
                <w:color w:val="FFFFFF"/>
                <w:sz w:val="20"/>
              </w:rPr>
              <w:t>Detail</w:t>
            </w:r>
          </w:p>
        </w:tc>
      </w:tr>
      <w:tr>
        <w:tc>
          <w:tcPr>
            <w:tcW w:type="dxa" w:w="2268"/>
          </w:tcPr>
          <w:p>
            <w:r>
              <w:rPr>
                <w:rFonts w:ascii="Calibri" w:hAnsi="Calibri"/>
                <w:b/>
                <w:i w:val="0"/>
                <w:color w:val="1E1E78"/>
                <w:sz w:val="20"/>
              </w:rPr>
              <w:t>Severity</w:t>
            </w:r>
          </w:p>
        </w:tc>
        <w:tc>
          <w:tcPr>
            <w:tcW w:type="dxa" w:w="7370"/>
          </w:tcPr>
          <w:p>
            <w:r>
              <w:rPr>
                <w:rFonts w:ascii="Calibri" w:hAnsi="Calibri"/>
                <w:b w:val="0"/>
                <w:i w:val="0"/>
                <w:color w:val="141414"/>
                <w:sz w:val="20"/>
              </w:rPr>
              <w:t>MEDIUM</w:t>
            </w:r>
          </w:p>
        </w:tc>
      </w:tr>
      <w:tr>
        <w:tc>
          <w:tcPr>
            <w:tcW w:type="dxa" w:w="2268"/>
          </w:tcPr>
          <w:p>
            <w:r>
              <w:rPr>
                <w:rFonts w:ascii="Calibri" w:hAnsi="Calibri"/>
                <w:b/>
                <w:i w:val="0"/>
                <w:color w:val="1E1E78"/>
                <w:sz w:val="20"/>
              </w:rPr>
              <w:t>Module</w:t>
            </w:r>
          </w:p>
        </w:tc>
        <w:tc>
          <w:tcPr>
            <w:tcW w:type="dxa" w:w="7370"/>
          </w:tcPr>
          <w:p>
            <w:r>
              <w:rPr>
                <w:rFonts w:ascii="Calibri" w:hAnsi="Calibri"/>
                <w:b w:val="0"/>
                <w:i w:val="0"/>
                <w:color w:val="141414"/>
                <w:sz w:val="20"/>
              </w:rPr>
              <w:t>x/wstaking (slashing module affected)</w:t>
            </w:r>
          </w:p>
        </w:tc>
      </w:tr>
      <w:tr>
        <w:tc>
          <w:tcPr>
            <w:tcW w:type="dxa" w:w="2268"/>
          </w:tcPr>
          <w:p>
            <w:r>
              <w:rPr>
                <w:rFonts w:ascii="Calibri" w:hAnsi="Calibri"/>
                <w:b/>
                <w:i w:val="0"/>
                <w:color w:val="1E1E78"/>
                <w:sz w:val="20"/>
              </w:rPr>
              <w:t>Function</w:t>
            </w:r>
          </w:p>
        </w:tc>
        <w:tc>
          <w:tcPr>
            <w:tcW w:type="dxa" w:w="7370"/>
          </w:tcPr>
          <w:p>
            <w:r>
              <w:rPr>
                <w:rFonts w:ascii="Calibri" w:hAnsi="Calibri"/>
                <w:b w:val="0"/>
                <w:i w:val="0"/>
                <w:color w:val="141414"/>
                <w:sz w:val="20"/>
              </w:rPr>
              <w:t>UpdateValidatorPubKey()</w:t>
            </w:r>
          </w:p>
        </w:tc>
      </w:tr>
      <w:tr>
        <w:tc>
          <w:tcPr>
            <w:tcW w:type="dxa" w:w="2268"/>
          </w:tcPr>
          <w:p>
            <w:r>
              <w:rPr>
                <w:rFonts w:ascii="Calibri" w:hAnsi="Calibri"/>
                <w:b/>
                <w:i w:val="0"/>
                <w:color w:val="1E1E78"/>
                <w:sz w:val="20"/>
              </w:rPr>
              <w:t>Impact</w:t>
            </w:r>
          </w:p>
        </w:tc>
        <w:tc>
          <w:tcPr>
            <w:tcW w:type="dxa" w:w="7370"/>
          </w:tcPr>
          <w:p>
            <w:r>
              <w:rPr>
                <w:rFonts w:ascii="Calibri" w:hAnsi="Calibri"/>
                <w:b w:val="0"/>
                <w:i w:val="0"/>
                <w:color w:val="141414"/>
                <w:sz w:val="20"/>
              </w:rPr>
              <w:t>Permanent storage leak per key rotation; stale signing info pollutes slashing module state</w:t>
            </w:r>
          </w:p>
        </w:tc>
      </w:tr>
      <w:tr>
        <w:tc>
          <w:tcPr>
            <w:tcW w:type="dxa" w:w="2268"/>
          </w:tcPr>
          <w:p>
            <w:r>
              <w:rPr>
                <w:rFonts w:ascii="Calibri" w:hAnsi="Calibri"/>
                <w:b/>
                <w:i w:val="0"/>
                <w:color w:val="1E1E78"/>
                <w:sz w:val="20"/>
              </w:rPr>
              <w:t>Reward Range</w:t>
            </w:r>
          </w:p>
        </w:tc>
        <w:tc>
          <w:tcPr>
            <w:tcW w:type="dxa" w:w="7370"/>
          </w:tcPr>
          <w:p>
            <w:r>
              <w:rPr>
                <w:rFonts w:ascii="Calibri" w:hAnsi="Calibri"/>
                <w:b w:val="0"/>
                <w:i w:val="0"/>
                <w:color w:val="141414"/>
                <w:sz w:val="20"/>
              </w:rPr>
              <w:t>$100 – $1,000 MEC</w:t>
            </w:r>
          </w:p>
        </w:tc>
      </w:tr>
    </w:tbl>
    <w:p>
      <w:r>
        <w:br w:type="page"/>
      </w:r>
    </w:p>
    <w:p>
      <w:pPr>
        <w:spacing w:before="240" w:after="120"/>
      </w:pPr>
      <w:r>
        <w:rPr>
          <w:rFonts w:ascii="Calibri" w:hAnsi="Calibri"/>
          <w:b/>
          <w:i w:val="0"/>
          <w:color w:val="28288C"/>
          <w:sz w:val="40"/>
        </w:rPr>
        <w:t>Final Summary &amp; Reward Estimate</w:t>
      </w:r>
    </w:p>
    <w:p>
      <w:pPr>
        <w:spacing w:before="120" w:after="120"/>
        <w:pBdr>
          <w:bottom w:val="single" w:sz="6" w:space="1" w:color="283593"/>
        </w:pBdr>
      </w:pPr>
    </w:p>
    <w:p>
      <w:pPr>
        <w:spacing w:after="120"/>
      </w:pPr>
      <w:r>
        <w:rPr>
          <w:rFonts w:ascii="Calibri" w:hAnsi="Calibri"/>
          <w:b w:val="0"/>
          <w:i/>
          <w:color w:val="000000"/>
          <w:sz w:val="22"/>
        </w:rPr>
        <w:t>All 10 vulnerabilities reported in this document are original findings, verified non-duplicate against the complete openmetaearth/me-hub GitHub issues list (issues #1 through #1239).</w:t>
      </w:r>
    </w:p>
    <w:p>
      <w:pPr>
        <w:spacing w:after="12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850"/>
          </w:tcPr>
          <w:p>
            <w:pPr>
              <w:shd w:val="clear" w:color="auto" w:fill="283593"/>
            </w:pPr>
            <w:r>
              <w:rPr>
                <w:rFonts w:ascii="Calibri" w:hAnsi="Calibri"/>
                <w:b/>
                <w:i w:val="0"/>
                <w:color w:val="FFFFFF"/>
                <w:sz w:val="20"/>
              </w:rPr>
              <w:t>Bug</w:t>
            </w:r>
          </w:p>
        </w:tc>
        <w:tc>
          <w:tcPr>
            <w:tcW w:type="dxa" w:w="1134"/>
          </w:tcPr>
          <w:p>
            <w:pPr>
              <w:shd w:val="clear" w:color="auto" w:fill="283593"/>
            </w:pPr>
            <w:r>
              <w:rPr>
                <w:rFonts w:ascii="Calibri" w:hAnsi="Calibri"/>
                <w:b/>
                <w:i w:val="0"/>
                <w:color w:val="FFFFFF"/>
                <w:sz w:val="20"/>
              </w:rPr>
              <w:t>Severity</w:t>
            </w:r>
          </w:p>
        </w:tc>
        <w:tc>
          <w:tcPr>
            <w:tcW w:type="dxa" w:w="5386"/>
          </w:tcPr>
          <w:p>
            <w:pPr>
              <w:shd w:val="clear" w:color="auto" w:fill="283593"/>
            </w:pPr>
            <w:r>
              <w:rPr>
                <w:rFonts w:ascii="Calibri" w:hAnsi="Calibri"/>
                <w:b/>
                <w:i w:val="0"/>
                <w:color w:val="FFFFFF"/>
                <w:sz w:val="20"/>
              </w:rPr>
              <w:t>Title</w:t>
            </w:r>
          </w:p>
        </w:tc>
        <w:tc>
          <w:tcPr>
            <w:tcW w:type="dxa" w:w="1701"/>
          </w:tcPr>
          <w:p>
            <w:pPr>
              <w:shd w:val="clear" w:color="auto" w:fill="283593"/>
            </w:pPr>
            <w:r>
              <w:rPr>
                <w:rFonts w:ascii="Calibri" w:hAnsi="Calibri"/>
                <w:b/>
                <w:i w:val="0"/>
                <w:color w:val="FFFFFF"/>
                <w:sz w:val="20"/>
              </w:rPr>
              <w:t>Estimated Reward</w:t>
            </w:r>
          </w:p>
        </w:tc>
      </w:tr>
      <w:tr>
        <w:tc>
          <w:tcPr>
            <w:tcW w:type="dxa" w:w="850"/>
          </w:tcPr>
          <w:p>
            <w:r>
              <w:rPr>
                <w:rFonts w:ascii="Calibri" w:hAnsi="Calibri"/>
                <w:b w:val="0"/>
                <w:i w:val="0"/>
                <w:color w:val="141414"/>
                <w:sz w:val="18"/>
              </w:rPr>
              <w:t>Bug #1</w:t>
            </w:r>
          </w:p>
        </w:tc>
        <w:tc>
          <w:tcPr>
            <w:tcW w:type="dxa" w:w="1134"/>
          </w:tcPr>
          <w:p>
            <w:r>
              <w:rPr>
                <w:rFonts w:ascii="Calibri" w:hAnsi="Calibri"/>
                <w:b/>
                <w:i w:val="0"/>
                <w:color w:val="B71C1C"/>
                <w:sz w:val="18"/>
              </w:rPr>
              <w:t>CRITICAL</w:t>
            </w:r>
          </w:p>
        </w:tc>
        <w:tc>
          <w:tcPr>
            <w:tcW w:type="dxa" w:w="5386"/>
          </w:tcPr>
          <w:p>
            <w:r>
              <w:rPr>
                <w:rFonts w:ascii="Calibri" w:hAnsi="Calibri"/>
                <w:b w:val="0"/>
                <w:i w:val="0"/>
                <w:color w:val="141414"/>
                <w:sz w:val="18"/>
              </w:rPr>
              <w:t>AllocateBlockReward Int64 Overflow → Chain Halt</w:t>
            </w:r>
          </w:p>
        </w:tc>
        <w:tc>
          <w:tcPr>
            <w:tcW w:type="dxa" w:w="1701"/>
          </w:tcPr>
          <w:p>
            <w:r>
              <w:rPr>
                <w:rFonts w:ascii="Calibri" w:hAnsi="Calibri"/>
                <w:b/>
                <w:i w:val="0"/>
                <w:color w:val="006400"/>
                <w:sz w:val="18"/>
              </w:rPr>
              <w:t>$2,000 – $5,000</w:t>
            </w:r>
          </w:p>
        </w:tc>
      </w:tr>
      <w:tr>
        <w:tc>
          <w:tcPr>
            <w:tcW w:type="dxa" w:w="850"/>
          </w:tcPr>
          <w:p>
            <w:r>
              <w:rPr>
                <w:rFonts w:ascii="Calibri" w:hAnsi="Calibri"/>
                <w:b w:val="0"/>
                <w:i w:val="0"/>
                <w:color w:val="141414"/>
                <w:sz w:val="18"/>
              </w:rPr>
              <w:t>Bug #2</w:t>
            </w:r>
          </w:p>
        </w:tc>
        <w:tc>
          <w:tcPr>
            <w:tcW w:type="dxa" w:w="1134"/>
          </w:tcPr>
          <w:p>
            <w:r>
              <w:rPr>
                <w:rFonts w:ascii="Calibri" w:hAnsi="Calibri"/>
                <w:b/>
                <w:i w:val="0"/>
                <w:color w:val="E65100"/>
                <w:sz w:val="18"/>
              </w:rPr>
              <w:t>HIGH</w:t>
            </w:r>
          </w:p>
        </w:tc>
        <w:tc>
          <w:tcPr>
            <w:tcW w:type="dxa" w:w="5386"/>
          </w:tcPr>
          <w:p>
            <w:r>
              <w:rPr>
                <w:rFonts w:ascii="Calibri" w:hAnsi="Calibri"/>
                <w:b w:val="0"/>
                <w:i w:val="0"/>
                <w:color w:val="141414"/>
                <w:sz w:val="18"/>
              </w:rPr>
              <w:t>JoinGroup Empty Admin Panic After UnBondRegion</w:t>
            </w:r>
          </w:p>
        </w:tc>
        <w:tc>
          <w:tcPr>
            <w:tcW w:type="dxa" w:w="1701"/>
          </w:tcPr>
          <w:p>
            <w:r>
              <w:rPr>
                <w:rFonts w:ascii="Calibri" w:hAnsi="Calibri"/>
                <w:b/>
                <w:i w:val="0"/>
                <w:color w:val="006400"/>
                <w:sz w:val="18"/>
              </w:rPr>
              <w:t>$1,000 – $2,000</w:t>
            </w:r>
          </w:p>
        </w:tc>
      </w:tr>
      <w:tr>
        <w:tc>
          <w:tcPr>
            <w:tcW w:type="dxa" w:w="850"/>
          </w:tcPr>
          <w:p>
            <w:r>
              <w:rPr>
                <w:rFonts w:ascii="Calibri" w:hAnsi="Calibri"/>
                <w:b w:val="0"/>
                <w:i w:val="0"/>
                <w:color w:val="141414"/>
                <w:sz w:val="18"/>
              </w:rPr>
              <w:t>Bug #3</w:t>
            </w:r>
          </w:p>
        </w:tc>
        <w:tc>
          <w:tcPr>
            <w:tcW w:type="dxa" w:w="1134"/>
          </w:tcPr>
          <w:p>
            <w:r>
              <w:rPr>
                <w:rFonts w:ascii="Calibri" w:hAnsi="Calibri"/>
                <w:b/>
                <w:i w:val="0"/>
                <w:color w:val="F57F17"/>
                <w:sz w:val="18"/>
              </w:rPr>
              <w:t>MEDIUM</w:t>
            </w:r>
          </w:p>
        </w:tc>
        <w:tc>
          <w:tcPr>
            <w:tcW w:type="dxa" w:w="5386"/>
          </w:tcPr>
          <w:p>
            <w:r>
              <w:rPr>
                <w:rFonts w:ascii="Calibri" w:hAnsi="Calibri"/>
                <w:b w:val="0"/>
                <w:i w:val="0"/>
                <w:color w:val="141414"/>
                <w:sz w:val="18"/>
              </w:rPr>
              <w:t>sendKycRewards Silent DelegateInterest Skip</w:t>
            </w:r>
          </w:p>
        </w:tc>
        <w:tc>
          <w:tcPr>
            <w:tcW w:type="dxa" w:w="1701"/>
          </w:tcPr>
          <w:p>
            <w:r>
              <w:rPr>
                <w:rFonts w:ascii="Calibri" w:hAnsi="Calibri"/>
                <w:b/>
                <w:i w:val="0"/>
                <w:color w:val="006400"/>
                <w:sz w:val="18"/>
              </w:rPr>
              <w:t>$100 – $1,000</w:t>
            </w:r>
          </w:p>
        </w:tc>
      </w:tr>
      <w:tr>
        <w:tc>
          <w:tcPr>
            <w:tcW w:type="dxa" w:w="850"/>
          </w:tcPr>
          <w:p>
            <w:r>
              <w:rPr>
                <w:rFonts w:ascii="Calibri" w:hAnsi="Calibri"/>
                <w:b w:val="0"/>
                <w:i w:val="0"/>
                <w:color w:val="141414"/>
                <w:sz w:val="18"/>
              </w:rPr>
              <w:t>Bug #4</w:t>
            </w:r>
          </w:p>
        </w:tc>
        <w:tc>
          <w:tcPr>
            <w:tcW w:type="dxa" w:w="1134"/>
          </w:tcPr>
          <w:p>
            <w:r>
              <w:rPr>
                <w:rFonts w:ascii="Calibri" w:hAnsi="Calibri"/>
                <w:b/>
                <w:i w:val="0"/>
                <w:color w:val="E65100"/>
                <w:sz w:val="18"/>
              </w:rPr>
              <w:t>HIGH</w:t>
            </w:r>
          </w:p>
        </w:tc>
        <w:tc>
          <w:tcPr>
            <w:tcW w:type="dxa" w:w="5386"/>
          </w:tcPr>
          <w:p>
            <w:r>
              <w:rPr>
                <w:rFonts w:ascii="Calibri" w:hAnsi="Calibri"/>
                <w:b w:val="0"/>
                <w:i w:val="0"/>
                <w:color w:val="141414"/>
                <w:sz w:val="18"/>
              </w:rPr>
              <w:t>getRewardsByHeight Off-by-One at Halving Boundaries</w:t>
            </w:r>
          </w:p>
        </w:tc>
        <w:tc>
          <w:tcPr>
            <w:tcW w:type="dxa" w:w="1701"/>
          </w:tcPr>
          <w:p>
            <w:r>
              <w:rPr>
                <w:rFonts w:ascii="Calibri" w:hAnsi="Calibri"/>
                <w:b/>
                <w:i w:val="0"/>
                <w:color w:val="006400"/>
                <w:sz w:val="18"/>
              </w:rPr>
              <w:t>$1,000 – $2,000</w:t>
            </w:r>
          </w:p>
        </w:tc>
      </w:tr>
      <w:tr>
        <w:tc>
          <w:tcPr>
            <w:tcW w:type="dxa" w:w="850"/>
          </w:tcPr>
          <w:p>
            <w:r>
              <w:rPr>
                <w:rFonts w:ascii="Calibri" w:hAnsi="Calibri"/>
                <w:b w:val="0"/>
                <w:i w:val="0"/>
                <w:color w:val="141414"/>
                <w:sz w:val="18"/>
              </w:rPr>
              <w:t>Bug #5</w:t>
            </w:r>
          </w:p>
        </w:tc>
        <w:tc>
          <w:tcPr>
            <w:tcW w:type="dxa" w:w="1134"/>
          </w:tcPr>
          <w:p>
            <w:r>
              <w:rPr>
                <w:rFonts w:ascii="Calibri" w:hAnsi="Calibri"/>
                <w:b/>
                <w:i w:val="0"/>
                <w:color w:val="E65100"/>
                <w:sz w:val="18"/>
              </w:rPr>
              <w:t>HIGH</w:t>
            </w:r>
          </w:p>
        </w:tc>
        <w:tc>
          <w:tcPr>
            <w:tcW w:type="dxa" w:w="5386"/>
          </w:tcPr>
          <w:p>
            <w:r>
              <w:rPr>
                <w:rFonts w:ascii="Calibri" w:hAnsi="Calibri"/>
                <w:b w:val="0"/>
                <w:i w:val="0"/>
                <w:color w:val="141414"/>
                <w:sz w:val="18"/>
              </w:rPr>
              <w:t>WithdrawFromRegion No Solvency Check → Treasury Drain</w:t>
            </w:r>
          </w:p>
        </w:tc>
        <w:tc>
          <w:tcPr>
            <w:tcW w:type="dxa" w:w="1701"/>
          </w:tcPr>
          <w:p>
            <w:r>
              <w:rPr>
                <w:rFonts w:ascii="Calibri" w:hAnsi="Calibri"/>
                <w:b/>
                <w:i w:val="0"/>
                <w:color w:val="006400"/>
                <w:sz w:val="18"/>
              </w:rPr>
              <w:t>$1,000 – $2,000</w:t>
            </w:r>
          </w:p>
        </w:tc>
      </w:tr>
      <w:tr>
        <w:tc>
          <w:tcPr>
            <w:tcW w:type="dxa" w:w="850"/>
          </w:tcPr>
          <w:p>
            <w:r>
              <w:rPr>
                <w:rFonts w:ascii="Calibri" w:hAnsi="Calibri"/>
                <w:b w:val="0"/>
                <w:i w:val="0"/>
                <w:color w:val="141414"/>
                <w:sz w:val="18"/>
              </w:rPr>
              <w:t>Bug #6</w:t>
            </w:r>
          </w:p>
        </w:tc>
        <w:tc>
          <w:tcPr>
            <w:tcW w:type="dxa" w:w="1134"/>
          </w:tcPr>
          <w:p>
            <w:r>
              <w:rPr>
                <w:rFonts w:ascii="Calibri" w:hAnsi="Calibri"/>
                <w:b/>
                <w:i w:val="0"/>
                <w:color w:val="F57F17"/>
                <w:sz w:val="18"/>
              </w:rPr>
              <w:t>MEDIUM</w:t>
            </w:r>
          </w:p>
        </w:tc>
        <w:tc>
          <w:tcPr>
            <w:tcW w:type="dxa" w:w="5386"/>
          </w:tcPr>
          <w:p>
            <w:r>
              <w:rPr>
                <w:rFonts w:ascii="Calibri" w:hAnsi="Calibri"/>
                <w:b w:val="0"/>
                <w:i w:val="0"/>
                <w:color w:val="141414"/>
                <w:sz w:val="18"/>
              </w:rPr>
              <w:t>DoFixedDeposit Incorrect Solvency Formula</w:t>
            </w:r>
          </w:p>
        </w:tc>
        <w:tc>
          <w:tcPr>
            <w:tcW w:type="dxa" w:w="1701"/>
          </w:tcPr>
          <w:p>
            <w:r>
              <w:rPr>
                <w:rFonts w:ascii="Calibri" w:hAnsi="Calibri"/>
                <w:b/>
                <w:i w:val="0"/>
                <w:color w:val="006400"/>
                <w:sz w:val="18"/>
              </w:rPr>
              <w:t>$100 – $1,000</w:t>
            </w:r>
          </w:p>
        </w:tc>
      </w:tr>
      <w:tr>
        <w:tc>
          <w:tcPr>
            <w:tcW w:type="dxa" w:w="850"/>
          </w:tcPr>
          <w:p>
            <w:r>
              <w:rPr>
                <w:rFonts w:ascii="Calibri" w:hAnsi="Calibri"/>
                <w:b w:val="0"/>
                <w:i w:val="0"/>
                <w:color w:val="141414"/>
                <w:sz w:val="18"/>
              </w:rPr>
              <w:t>Bug #7</w:t>
            </w:r>
          </w:p>
        </w:tc>
        <w:tc>
          <w:tcPr>
            <w:tcW w:type="dxa" w:w="1134"/>
          </w:tcPr>
          <w:p>
            <w:r>
              <w:rPr>
                <w:rFonts w:ascii="Calibri" w:hAnsi="Calibri"/>
                <w:b/>
                <w:i w:val="0"/>
                <w:color w:val="E65100"/>
                <w:sz w:val="18"/>
              </w:rPr>
              <w:t>HIGH</w:t>
            </w:r>
          </w:p>
        </w:tc>
        <w:tc>
          <w:tcPr>
            <w:tcW w:type="dxa" w:w="5386"/>
          </w:tcPr>
          <w:p>
            <w:r>
              <w:rPr>
                <w:rFonts w:ascii="Calibri" w:hAnsi="Calibri"/>
                <w:b w:val="0"/>
                <w:i w:val="0"/>
                <w:color w:val="141414"/>
                <w:sz w:val="18"/>
              </w:rPr>
              <w:t>IbcTransferFromRegionTreasure Receiver Hardcoded = Sender</w:t>
            </w:r>
          </w:p>
        </w:tc>
        <w:tc>
          <w:tcPr>
            <w:tcW w:type="dxa" w:w="1701"/>
          </w:tcPr>
          <w:p>
            <w:r>
              <w:rPr>
                <w:rFonts w:ascii="Calibri" w:hAnsi="Calibri"/>
                <w:b/>
                <w:i w:val="0"/>
                <w:color w:val="006400"/>
                <w:sz w:val="18"/>
              </w:rPr>
              <w:t>$1,000 – $2,000</w:t>
            </w:r>
          </w:p>
        </w:tc>
      </w:tr>
      <w:tr>
        <w:tc>
          <w:tcPr>
            <w:tcW w:type="dxa" w:w="850"/>
          </w:tcPr>
          <w:p>
            <w:r>
              <w:rPr>
                <w:rFonts w:ascii="Calibri" w:hAnsi="Calibri"/>
                <w:b w:val="0"/>
                <w:i w:val="0"/>
                <w:color w:val="141414"/>
                <w:sz w:val="18"/>
              </w:rPr>
              <w:t>Bug #8</w:t>
            </w:r>
          </w:p>
        </w:tc>
        <w:tc>
          <w:tcPr>
            <w:tcW w:type="dxa" w:w="1134"/>
          </w:tcPr>
          <w:p>
            <w:r>
              <w:rPr>
                <w:rFonts w:ascii="Calibri" w:hAnsi="Calibri"/>
                <w:b/>
                <w:i w:val="0"/>
                <w:color w:val="F57F17"/>
                <w:sz w:val="18"/>
              </w:rPr>
              <w:t>MEDIUM</w:t>
            </w:r>
          </w:p>
        </w:tc>
        <w:tc>
          <w:tcPr>
            <w:tcW w:type="dxa" w:w="5386"/>
          </w:tcPr>
          <w:p>
            <w:r>
              <w:rPr>
                <w:rFonts w:ascii="Calibri" w:hAnsi="Calibri"/>
                <w:b w:val="0"/>
                <w:i w:val="0"/>
                <w:color w:val="141414"/>
                <w:sz w:val="18"/>
              </w:rPr>
              <w:t>RemoveMeidNFT Wrong Store Prefix → Index Leak</w:t>
            </w:r>
          </w:p>
        </w:tc>
        <w:tc>
          <w:tcPr>
            <w:tcW w:type="dxa" w:w="1701"/>
          </w:tcPr>
          <w:p>
            <w:r>
              <w:rPr>
                <w:rFonts w:ascii="Calibri" w:hAnsi="Calibri"/>
                <w:b/>
                <w:i w:val="0"/>
                <w:color w:val="006400"/>
                <w:sz w:val="18"/>
              </w:rPr>
              <w:t>$100 – $1,000</w:t>
            </w:r>
          </w:p>
        </w:tc>
      </w:tr>
      <w:tr>
        <w:tc>
          <w:tcPr>
            <w:tcW w:type="dxa" w:w="850"/>
          </w:tcPr>
          <w:p>
            <w:r>
              <w:rPr>
                <w:rFonts w:ascii="Calibri" w:hAnsi="Calibri"/>
                <w:b w:val="0"/>
                <w:i w:val="0"/>
                <w:color w:val="141414"/>
                <w:sz w:val="18"/>
              </w:rPr>
              <w:t>Bug #9</w:t>
            </w:r>
          </w:p>
        </w:tc>
        <w:tc>
          <w:tcPr>
            <w:tcW w:type="dxa" w:w="1134"/>
          </w:tcPr>
          <w:p>
            <w:r>
              <w:rPr>
                <w:rFonts w:ascii="Calibri" w:hAnsi="Calibri"/>
                <w:b/>
                <w:i w:val="0"/>
                <w:color w:val="F57F17"/>
                <w:sz w:val="18"/>
              </w:rPr>
              <w:t>MEDIUM</w:t>
            </w:r>
          </w:p>
        </w:tc>
        <w:tc>
          <w:tcPr>
            <w:tcW w:type="dxa" w:w="5386"/>
          </w:tcPr>
          <w:p>
            <w:r>
              <w:rPr>
                <w:rFonts w:ascii="Calibri" w:hAnsi="Calibri"/>
                <w:b w:val="0"/>
                <w:i w:val="0"/>
                <w:color w:val="141414"/>
                <w:sz w:val="18"/>
              </w:rPr>
              <w:t>SetFixedDepositCfgRate Silently Locks Existing Depositors</w:t>
            </w:r>
          </w:p>
        </w:tc>
        <w:tc>
          <w:tcPr>
            <w:tcW w:type="dxa" w:w="1701"/>
          </w:tcPr>
          <w:p>
            <w:r>
              <w:rPr>
                <w:rFonts w:ascii="Calibri" w:hAnsi="Calibri"/>
                <w:b/>
                <w:i w:val="0"/>
                <w:color w:val="006400"/>
                <w:sz w:val="18"/>
              </w:rPr>
              <w:t>$100 – $1,000</w:t>
            </w:r>
          </w:p>
        </w:tc>
      </w:tr>
      <w:tr>
        <w:tc>
          <w:tcPr>
            <w:tcW w:type="dxa" w:w="850"/>
          </w:tcPr>
          <w:p>
            <w:r>
              <w:rPr>
                <w:rFonts w:ascii="Calibri" w:hAnsi="Calibri"/>
                <w:b w:val="0"/>
                <w:i w:val="0"/>
                <w:color w:val="141414"/>
                <w:sz w:val="18"/>
              </w:rPr>
              <w:t>Bug #10</w:t>
            </w:r>
          </w:p>
        </w:tc>
        <w:tc>
          <w:tcPr>
            <w:tcW w:type="dxa" w:w="1134"/>
          </w:tcPr>
          <w:p>
            <w:r>
              <w:rPr>
                <w:rFonts w:ascii="Calibri" w:hAnsi="Calibri"/>
                <w:b/>
                <w:i w:val="0"/>
                <w:color w:val="F57F17"/>
                <w:sz w:val="18"/>
              </w:rPr>
              <w:t>MEDIUM</w:t>
            </w:r>
          </w:p>
        </w:tc>
        <w:tc>
          <w:tcPr>
            <w:tcW w:type="dxa" w:w="5386"/>
          </w:tcPr>
          <w:p>
            <w:r>
              <w:rPr>
                <w:rFonts w:ascii="Calibri" w:hAnsi="Calibri"/>
                <w:b w:val="0"/>
                <w:i w:val="0"/>
                <w:color w:val="141414"/>
                <w:sz w:val="18"/>
              </w:rPr>
              <w:t>UpdateValidatorPubKey SlashingInfo Storage Leak</w:t>
            </w:r>
          </w:p>
        </w:tc>
        <w:tc>
          <w:tcPr>
            <w:tcW w:type="dxa" w:w="1701"/>
          </w:tcPr>
          <w:p>
            <w:r>
              <w:rPr>
                <w:rFonts w:ascii="Calibri" w:hAnsi="Calibri"/>
                <w:b/>
                <w:i w:val="0"/>
                <w:color w:val="006400"/>
                <w:sz w:val="18"/>
              </w:rPr>
              <w:t>$100 – $1,000</w:t>
            </w:r>
          </w:p>
        </w:tc>
      </w:tr>
    </w:tbl>
    <w:p>
      <w:pPr>
        <w:spacing w:after="120"/>
      </w:pPr>
    </w:p>
    <w:p>
      <w:r>
        <w:rPr>
          <w:rFonts w:ascii="Calibri" w:hAnsi="Calibri"/>
          <w:b/>
          <w:i w:val="0"/>
          <w:color w:val="141414"/>
          <w:sz w:val="24"/>
        </w:rPr>
        <w:t xml:space="preserve">Total Estimated Reward Range:  </w:t>
      </w:r>
      <w:r>
        <w:rPr>
          <w:rFonts w:ascii="Calibri" w:hAnsi="Calibri"/>
          <w:b/>
          <w:i w:val="0"/>
          <w:color w:val="007800"/>
          <w:sz w:val="26"/>
        </w:rPr>
        <w:t>$5,800 – $15,000 MEC</w:t>
      </w:r>
    </w:p>
    <w:p>
      <w:pPr>
        <w:spacing w:after="120"/>
      </w:pPr>
    </w:p>
    <w:p>
      <w:pPr>
        <w:spacing w:after="120"/>
      </w:pPr>
      <w:r>
        <w:rPr>
          <w:rFonts w:ascii="Calibri" w:hAnsi="Calibri"/>
          <w:b w:val="0"/>
          <w:i/>
          <w:color w:val="646464"/>
          <w:sz w:val="20"/>
        </w:rPr>
        <w:t>Submission Date: June 2026  |  Program: ME Hub Bug Bounty Phase I</w:t>
      </w:r>
    </w:p>
    <w:p>
      <w:pPr>
        <w:spacing w:after="120"/>
      </w:pPr>
      <w:r>
        <w:rPr>
          <w:rFonts w:ascii="Calibri" w:hAnsi="Calibri"/>
          <w:b w:val="0"/>
          <w:i w:val="0"/>
          <w:color w:val="1E1EC8"/>
          <w:sz w:val="20"/>
        </w:rPr>
        <w:t>Repository: https://github.com/openmetaearth/me-hub</w:t>
      </w:r>
    </w:p>
    <w:p>
      <w:pPr>
        <w:spacing w:after="120"/>
      </w:pPr>
      <w:r>
        <w:rPr>
          <w:rFonts w:ascii="Calibri" w:hAnsi="Calibri"/>
          <w:b w:val="0"/>
          <w:i w:val="0"/>
          <w:color w:val="1E1EC8"/>
          <w:sz w:val="20"/>
        </w:rPr>
        <w:t>Bug Bounty Page: https://www.mec.me/en-US/bug-bounty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