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61719"/>
          <w:sz w:val="48"/>
          <w:szCs w:val="48"/>
        </w:rPr>
        <w:t xml:space="preserve">CompliMesh</w:t>
      </w:r>
    </w:p>
    <w:p>
      <w:pPr>
        <w:spacing w:after="60"/>
      </w:pPr>
      <w:r>
        <w:rPr>
          <w:color w:val="6B6E73"/>
          <w:sz w:val="26"/>
          <w:szCs w:val="26"/>
        </w:rPr>
        <w:t xml:space="preserve">Content Bonus Playbook — H0 Hackathon (#H0Hackathon)</w:t>
      </w:r>
    </w:p>
    <w:p>
      <w:pPr>
        <w:spacing w:after="200"/>
      </w:pPr>
      <w:r>
        <w:rPr>
          <w:i/>
          <w:iCs/>
          <w:color w:val="6B6E73"/>
        </w:rPr>
        <w:t xml:space="preserve">Three skeleton outlines to fill in fast once the build exists. Target: full +0.6 bonus (3 pieces × 0.2).</w:t>
      </w:r>
    </w:p>
    <w:p>
      <w:pPr>
        <w:pBdr>
          <w:bottom w:val="single" w:color="1F4E4A" w:sz="6" w:space="1"/>
        </w:pBdr>
        <w:spacing w:after="160"/>
      </w:pPr>
      <w:r>
        <w:t xml:space="preserve"/>
      </w:r>
    </w:p>
    <w:p>
      <w:pPr>
        <w:pStyle w:val="Heading1"/>
      </w:pPr>
      <w:r>
        <w:t xml:space="preserve">How the bonus works (and why it matters)</w:t>
      </w:r>
    </w:p>
    <w:p>
      <w:pPr>
        <w:spacing w:after="120"/>
      </w:pPr>
      <w:r>
        <w:rPr>
          <w:b/>
          <w:bCs/>
        </w:rPr>
        <w:t xml:space="preserve">The math: </w:t>
      </w:r>
      <w:r>
        <w:t xml:space="preserve">up to </w:t>
      </w:r>
      <w:r>
        <w:rPr>
          <w:b/>
          <w:bCs/>
        </w:rPr>
        <w:t xml:space="preserve">0.6 extra points</w:t>
      </w:r>
      <w:r>
        <w:t xml:space="preserve">, earned as </w:t>
      </w:r>
      <w:r>
        <w:rPr>
          <w:b/>
          <w:bCs/>
        </w:rPr>
        <w:t xml:space="preserve">3 pieces × 0.2 each</w:t>
      </w:r>
      <w:r>
        <w:t xml:space="preserve">. Final scores range from 1 to 5.6, so a full 0.6 is more than a 10% swing on top of a base score (four equally-weighted criteria, 1–5 each). In a tight field this can be the margin between placing and not.</w:t>
      </w:r>
    </w:p>
    <w:p>
      <w:pPr>
        <w:spacing w:after="120"/>
      </w:pPr>
      <w:r>
        <w:rPr>
          <w:b/>
          <w:bCs/>
        </w:rPr>
        <w:t xml:space="preserve">Why this suits you: </w:t>
      </w:r>
      <w:r>
        <w:t xml:space="preserve">the bonus rewards explaining how you built it and why — which is the documentation work you already do. You’re repackaging existing thinking (architecture.md, techstack.md), not writing from scratch.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4CC" w:sz="1"/>
              <w:left w:val="single" w:color="D8D4CC" w:sz="1"/>
              <w:bottom w:val="single" w:color="D8D4CC" w:sz="1"/>
              <w:right w:val="single" w:color="D8D4CC" w:sz="1"/>
            </w:tcBorders>
            <w:shd w:fill="F2F0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4A"/>
              </w:rPr>
              <w:t xml:space="preserve">Two hard requirements (miss these = 0 bonus)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1. Public + not unlisted. </w:t>
            </w:r>
            <w:r>
              <w:t xml:space="preserve">The content must be published publicly on a platform like builder.aws.com, medium.com, dev.to, LinkedIn, or YouTube.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2. Mandatory disclaimer. </w:t>
            </w:r>
            <w:r>
              <w:t xml:space="preserve">Each piece must include language stating you created it for the purposes of entering this hackathon. A great post without this line earns zero.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Plus: </w:t>
            </w:r>
            <w:r>
              <w:t xml:space="preserve">use #H0Hackathon when sharing on social.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4CC" w:sz="1"/>
              <w:left w:val="single" w:color="D8D4CC" w:sz="1"/>
              <w:bottom w:val="single" w:color="D8D4CC" w:sz="1"/>
              <w:right w:val="single" w:color="D8D4CC" w:sz="1"/>
            </w:tcBorders>
            <w:shd w:fill="F2F0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4A"/>
              </w:rPr>
              <w:t xml:space="preserve">Strategy notes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Build first, write last. </w:t>
            </w:r>
            <w:r>
              <w:t xml:space="preserve">The base score (1–5 × 4) dwarfs the 0.6 bonus. Write these in the final stretch, from real screenshots and demo footage — never let content eat build time.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Three solid beats one perfect. </w:t>
            </w:r>
            <w:r>
              <w:t xml:space="preserve">Each piece caps at 0.2 regardless of brilliance. Aim for three competent pieces; polish past “solid” is wasted points.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Piece 1 reinforces your base score. </w:t>
            </w:r>
            <w:r>
              <w:t xml:space="preserve">The architecture post makes the same argument that wins the Technical Implementation criterion (“deliberate database choice”). Double benefit.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Verify before relying on it: </w:t>
            </w:r>
            <w:r>
              <w:t xml:space="preserve">confirm in the full official rules that 3 pieces on the same platform all count (the per-piece 0.2 cap is what matters), so none get disqualified as duplicative.</w:t>
            </w:r>
          </w:p>
        </w:tc>
      </w:tr>
    </w:tbl>
    <w:p>
      <w:pPr>
        <w:pBdr>
          <w:bottom w:val="single" w:color="1F4E4A" w:sz="6" w:space="1"/>
        </w:pBdr>
        <w:spacing w:after="160"/>
      </w:pPr>
      <w:r>
        <w:t xml:space="preserve"/>
      </w:r>
    </w:p>
    <w:p>
      <w:pPr>
        <w:pStyle w:val="Heading1"/>
      </w:pPr>
      <w:r>
        <w:t xml:space="preserve">Piece 1 — The architecture / decision story</w:t>
      </w:r>
    </w:p>
    <w:p>
      <w:pPr>
        <w:spacing w:after="120"/>
      </w:pPr>
      <w:r>
        <w:rPr>
          <w:b/>
          <w:bCs/>
        </w:rPr>
        <w:t xml:space="preserve">Working title: </w:t>
      </w:r>
      <w:r>
        <w:t xml:space="preserve">“How I built a unified trade-compliance engine on Aurora PostgreSQL + Vercel”</w:t>
      </w:r>
    </w:p>
    <w:p>
      <w:pPr>
        <w:spacing w:after="120"/>
      </w:pPr>
      <w:r>
        <w:rPr>
          <w:b/>
          <w:bCs/>
        </w:rPr>
        <w:t xml:space="preserve">Platform: </w:t>
      </w:r>
      <w:r>
        <w:t xml:space="preserve">dev.to or medium.com.  </w:t>
      </w:r>
      <w:r>
        <w:rPr>
          <w:b/>
          <w:bCs/>
        </w:rPr>
        <w:t xml:space="preserve">Angle: </w:t>
      </w:r>
      <w:r>
        <w:t xml:space="preserve">the architectural reasoning. This is the strongest piece because it also lifts the Technical Implementation base score.</w:t>
      </w:r>
    </w:p>
    <w:p>
      <w:pPr>
        <w:pStyle w:val="Heading3"/>
      </w:pPr>
      <w:r>
        <w:t xml:space="preserve">Outline to fill 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Hook — the real problem: SMB exporters stitch three separate tools plus an out-of-date spreadsheet to answer one question: can this product go to this company in this country?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wedge — unify three checks (</w:t>
      </w:r>
      <w:r>
        <w:rPr>
          <w:rFonts w:ascii="Consolas" w:cs="Consolas" w:eastAsia="Consolas" w:hAnsi="Consolas"/>
          <w:color w:val="1F4E4A"/>
        </w:rPr>
        <w:t xml:space="preserve">classify → screen → destination</w:t>
      </w:r>
      <w:r>
        <w:t xml:space="preserve">) into one verdict + a provable record.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Why Aurora PostgreSQL (the one-sentence justification): </w:t>
      </w:r>
      <w:r>
        <w:t xml:space="preserve">a compliance decision is inherently relational and transactional — product, entity, destination, and ruleset resolve into one verdict written atomically and preserved as an immutable audit record.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deliberate data-model moves (show, don’t tell): </w:t>
      </w:r>
      <w:r>
        <w:t xml:space="preserve">the </w:t>
      </w:r>
      <w:r>
        <w:rPr>
          <w:rFonts w:ascii="Consolas" w:cs="Consolas" w:eastAsia="Consolas" w:hAnsi="Consolas"/>
          <w:color w:val="1F4E4A"/>
        </w:rPr>
        <w:t xml:space="preserve">control_hits</w:t>
      </w:r>
      <w:r>
        <w:t xml:space="preserve"> resolution layer (source-shaped ingestion, uniform evaluation); per-source </w:t>
      </w:r>
      <w:r>
        <w:rPr>
          <w:rFonts w:ascii="Consolas" w:cs="Consolas" w:eastAsia="Consolas" w:hAnsi="Consolas"/>
          <w:color w:val="1F4E4A"/>
        </w:rPr>
        <w:t xml:space="preserve">ref_snapshots</w:t>
      </w:r>
      <w:r>
        <w:t xml:space="preserve"> for reproducibility; </w:t>
      </w:r>
      <w:r>
        <w:rPr>
          <w:rFonts w:ascii="Consolas" w:cs="Consolas" w:eastAsia="Consolas" w:hAnsi="Consolas"/>
          <w:color w:val="1F4E4A"/>
        </w:rPr>
        <w:t xml:space="preserve">pg_trgm</w:t>
      </w:r>
      <w:r>
        <w:t xml:space="preserve"> trigram similarity for fuzzy entity matching.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verdict logic — asymmetric and review-biased: GO is earned, a fuzzy match never auto-prohibits. (Screenshot the verdict readout.)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Vercel angle — one-click Aurora provisioning, functions co-located with the DB, no AWS console wiring. “Beyond a basic setup.”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Close — what shipped, what’s next, link to the demo.</w:t>
      </w:r>
    </w:p>
    <w:p>
      <w:pPr>
        <w:spacing w:after="120" w:before="80"/>
      </w:pPr>
      <w:r>
        <w:rPr>
          <w:b/>
          <w:bCs/>
        </w:rPr>
        <w:t xml:space="preserve">Must include screenshots of: </w:t>
      </w:r>
      <w:r>
        <w:t xml:space="preserve">the verdict readout, the schema (or the control_hits resolution), the Vercel storage config.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4CC" w:sz="1"/>
              <w:left w:val="single" w:color="D8D4CC" w:sz="1"/>
              <w:bottom w:val="single" w:color="D8D4CC" w:sz="1"/>
              <w:right w:val="single" w:color="D8D4CC" w:sz="1"/>
            </w:tcBorders>
            <w:shd w:fill="F2F0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4A"/>
              </w:rPr>
              <w:t xml:space="preserve">Disclaimer line to paste at top or bottom</w:t>
            </w:r>
          </w:p>
          <w:p>
            <w:pPr>
              <w:spacing w:after="40"/>
            </w:pPr>
            <w:r>
              <w:t xml:space="preserve">“I created this piece for the purposes of entering the H0 Hackathon. #H0Hackathon”</w:t>
            </w:r>
          </w:p>
        </w:tc>
      </w:tr>
    </w:tbl>
    <w:p>
      <w:pPr>
        <w:pBdr>
          <w:bottom w:val="single" w:color="1F4E4A" w:sz="6" w:space="1"/>
        </w:pBdr>
        <w:spacing w:after="160"/>
      </w:pPr>
      <w:r>
        <w:t xml:space="preserve"/>
      </w:r>
    </w:p>
    <w:p>
      <w:pPr>
        <w:pStyle w:val="Heading1"/>
      </w:pPr>
      <w:r>
        <w:t xml:space="preserve">Piece 2 — Deep-dive on one sharp technical detail</w:t>
      </w:r>
    </w:p>
    <w:p>
      <w:pPr>
        <w:spacing w:after="120"/>
      </w:pPr>
      <w:r>
        <w:rPr>
          <w:b/>
          <w:bCs/>
        </w:rPr>
        <w:t xml:space="preserve">Working title: </w:t>
      </w:r>
      <w:r>
        <w:t xml:space="preserve">“Building a tamper-evident audit log in Postgres: hash-chains, append-only enforcement, and a verifier”</w:t>
      </w:r>
    </w:p>
    <w:p>
      <w:pPr>
        <w:spacing w:after="120"/>
      </w:pPr>
      <w:r>
        <w:rPr>
          <w:b/>
          <w:bCs/>
        </w:rPr>
        <w:t xml:space="preserve">Platform: </w:t>
      </w:r>
      <w:r>
        <w:t xml:space="preserve">dev.to (technical readers) or builder.aws.com (AWS’s own platform — may be weighted favorably).  </w:t>
      </w:r>
      <w:r>
        <w:rPr>
          <w:b/>
          <w:bCs/>
        </w:rPr>
        <w:t xml:space="preserve">Angle: </w:t>
      </w:r>
      <w:r>
        <w:t xml:space="preserve">the most original thing you built, as a standalone technical read.</w:t>
      </w:r>
    </w:p>
    <w:p>
      <w:pPr>
        <w:pStyle w:val="Heading3"/>
      </w:pPr>
      <w:r>
        <w:t xml:space="preserve">Outline to fill 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 a compliance tool needs a provable audit trail — the differentiator competitors don’t have.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Layer 1, prevention: </w:t>
      </w:r>
      <w:r>
        <w:t xml:space="preserve">database-enforced append-only — </w:t>
      </w:r>
      <w:r>
        <w:rPr>
          <w:rFonts w:ascii="Consolas" w:cs="Consolas" w:eastAsia="Consolas" w:hAnsi="Consolas"/>
          <w:color w:val="1F4E4A"/>
        </w:rPr>
        <w:t xml:space="preserve">REVOKE UPDATE, DELETE</w:t>
      </w:r>
      <w:r>
        <w:t xml:space="preserve"> + a </w:t>
      </w:r>
      <w:r>
        <w:rPr>
          <w:rFonts w:ascii="Consolas" w:cs="Consolas" w:eastAsia="Consolas" w:hAnsi="Consolas"/>
          <w:color w:val="1F4E4A"/>
        </w:rPr>
        <w:t xml:space="preserve">BEFORE UPDATE/DELETE</w:t>
      </w:r>
      <w:r>
        <w:t xml:space="preserve"> trigger. The app physically cannot alter the 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Layer 2, evidence: </w:t>
      </w:r>
      <w:r>
        <w:t xml:space="preserve">hash-chaining each row — </w:t>
      </w:r>
      <w:r>
        <w:rPr>
          <w:rFonts w:ascii="Consolas" w:cs="Consolas" w:eastAsia="Consolas" w:hAnsi="Consolas"/>
          <w:color w:val="1F4E4A"/>
        </w:rPr>
        <w:t xml:space="preserve">row_hash = SHA-256(prev_hash || canonical(payload) || ...)</w:t>
      </w:r>
      <w:r>
        <w:t xml:space="preserve">. Tampering breaks the chain.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three things that are easy to get wrong: </w:t>
      </w:r>
      <w:r>
        <w:t xml:space="preserve">deterministic canonical serialization (don’t hash raw JSONB); serialized appends (lock the chain tip); a single global chain ordered by </w:t>
      </w:r>
      <w:r>
        <w:rPr>
          <w:rFonts w:ascii="Consolas" w:cs="Consolas" w:eastAsia="Consolas" w:hAnsi="Consolas"/>
          <w:color w:val="1F4E4A"/>
        </w:rPr>
        <w:t xml:space="preserve">seq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verifier </w:t>
      </w:r>
      <w:r>
        <w:t xml:space="preserve">— walk the chain, recompute, pinpoint the first broken </w:t>
      </w:r>
      <w:r>
        <w:rPr>
          <w:rFonts w:ascii="Consolas" w:cs="Consolas" w:eastAsia="Consolas" w:hAnsi="Consolas"/>
          <w:color w:val="1F4E4A"/>
        </w:rPr>
        <w:t xml:space="preserve">seq</w:t>
      </w:r>
      <w:r>
        <w:t xml:space="preserve">. Show the intact state and the broken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Honest scope of the claim: </w:t>
      </w:r>
      <w:r>
        <w:t xml:space="preserve">tamper-evidence against single-record alteration + app-level prevention; full external notarization is roadmap. (Don’t overclaim — credibility with technical readers.)</w:t>
      </w:r>
    </w:p>
    <w:p>
      <w:pPr>
        <w:spacing w:after="120" w:before="80"/>
      </w:pPr>
      <w:r>
        <w:rPr>
          <w:b/>
          <w:bCs/>
        </w:rPr>
        <w:t xml:space="preserve">Centerpiece: </w:t>
      </w:r>
      <w:r>
        <w:t xml:space="preserve">a short clip or GIF of the tamper-detection — alter a row via SQL, run the verifier, watch it flag the exact break in oxblood. This is the most shareable asset in the whole project.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4CC" w:sz="1"/>
              <w:left w:val="single" w:color="D8D4CC" w:sz="1"/>
              <w:bottom w:val="single" w:color="D8D4CC" w:sz="1"/>
              <w:right w:val="single" w:color="D8D4CC" w:sz="1"/>
            </w:tcBorders>
            <w:shd w:fill="F2F0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4A"/>
              </w:rPr>
              <w:t xml:space="preserve">Disclaimer line</w:t>
            </w:r>
          </w:p>
          <w:p>
            <w:pPr>
              <w:spacing w:after="40"/>
            </w:pPr>
            <w:r>
              <w:t xml:space="preserve">“I created this piece for the purposes of entering the H0 Hackathon. #H0Hackathon”</w:t>
            </w:r>
          </w:p>
        </w:tc>
      </w:tr>
    </w:tbl>
    <w:p>
      <w:pPr>
        <w:pBdr>
          <w:bottom w:val="single" w:color="1F4E4A" w:sz="6" w:space="1"/>
        </w:pBdr>
        <w:spacing w:after="160"/>
      </w:pPr>
      <w:r>
        <w:t xml:space="preserve"/>
      </w:r>
    </w:p>
    <w:p>
      <w:pPr>
        <w:pStyle w:val="Heading1"/>
      </w:pPr>
      <w:r>
        <w:t xml:space="preserve">Piece 3 — The demo-format piece</w:t>
      </w:r>
    </w:p>
    <w:p>
      <w:pPr>
        <w:spacing w:after="120"/>
      </w:pPr>
      <w:r>
        <w:rPr>
          <w:b/>
          <w:bCs/>
        </w:rPr>
        <w:t xml:space="preserve">Working title: </w:t>
      </w:r>
      <w:r>
        <w:t xml:space="preserve">“CompliMesh: one check to clear a shipment — and prove you did” (short video / LinkedIn post)</w:t>
      </w:r>
    </w:p>
    <w:p>
      <w:pPr>
        <w:spacing w:after="120"/>
      </w:pPr>
      <w:r>
        <w:rPr>
          <w:b/>
          <w:bCs/>
        </w:rPr>
        <w:t xml:space="preserve">Platform: </w:t>
      </w:r>
      <w:r>
        <w:t xml:space="preserve">LinkedIn or YouTube.  </w:t>
      </w:r>
      <w:r>
        <w:rPr>
          <w:b/>
          <w:bCs/>
        </w:rPr>
        <w:t xml:space="preserve">Angle: </w:t>
      </w:r>
      <w:r>
        <w:t xml:space="preserve">the product and its audience, not the code. Lowest effort — repurpose footage from the submission demo video.</w:t>
      </w:r>
    </w:p>
    <w:p>
      <w:pPr>
        <w:pStyle w:val="Heading3"/>
      </w:pPr>
      <w:r>
        <w:t xml:space="preserve">Outline to fill 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problem in one line — SMB exporters carry the legal risk of enterprise compliance but can’t afford $50k+/yr suites.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 the screening: product + counterparty + destination → the verdict readout resolving (GO / REVIEW / NO_GO).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 the audit trail + the tamper-detection moment (the wow shot).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honest line on positioning — decision support, never a silent green light.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on Aurora PostgreSQL + Vercel for the H0 Hackathon.</w:t>
      </w:r>
    </w:p>
    <w:p>
      <w:pPr>
        <w:spacing w:after="120" w:before="80"/>
      </w:pPr>
      <w:r>
        <w:rPr>
          <w:b/>
          <w:bCs/>
        </w:rPr>
        <w:t xml:space="preserve">Keep it tight: </w:t>
      </w:r>
      <w:r>
        <w:t xml:space="preserve">under ~60–90 seconds if video. A clean text-to-speech voiceover is fine (and explicitly allowed) — a calm scripted read beats a nervous live take.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4CC" w:sz="1"/>
              <w:left w:val="single" w:color="D8D4CC" w:sz="1"/>
              <w:bottom w:val="single" w:color="D8D4CC" w:sz="1"/>
              <w:right w:val="single" w:color="D8D4CC" w:sz="1"/>
            </w:tcBorders>
            <w:shd w:fill="F2F0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4A"/>
              </w:rPr>
              <w:t xml:space="preserve">Disclaimer line (put in the caption / description)</w:t>
            </w:r>
          </w:p>
          <w:p>
            <w:pPr>
              <w:spacing w:after="40"/>
            </w:pPr>
            <w:r>
              <w:t xml:space="preserve">“I created this content for the purposes of entering the H0 Hackathon. #H0Hackathon”</w:t>
            </w:r>
          </w:p>
        </w:tc>
      </w:tr>
    </w:tbl>
    <w:p>
      <w:pPr>
        <w:pBdr>
          <w:bottom w:val="single" w:color="1F4E4A" w:sz="6" w:space="1"/>
        </w:pBdr>
        <w:spacing w:after="160"/>
      </w:pPr>
      <w:r>
        <w:t xml:space="preserve"/>
      </w:r>
    </w:p>
    <w:p>
      <w:pPr>
        <w:pStyle w:val="Heading1"/>
      </w:pPr>
      <w:r>
        <w:t xml:space="preserve">Pre-publish checklist (per piece)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Published </w:t>
      </w:r>
      <w:r>
        <w:rPr>
          <w:b/>
          <w:bCs/>
        </w:rPr>
        <w:t xml:space="preserve">publicly</w:t>
      </w:r>
      <w:r>
        <w:t xml:space="preserve">, not unlisted.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Disclaimer line present</w:t>
      </w:r>
      <w:r>
        <w:t xml:space="preserve"> (“created for the purposes of entering the H0 Hackathon”).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#H0Hackathon </w:t>
      </w:r>
      <w:r>
        <w:t xml:space="preserve">used when sharing on social.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Real screenshots / footage from the actual build (not mockups).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Links back to the live demo / submission.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Logged in the submission so judges can find all three (max </w:t>
      </w:r>
      <w:r>
        <w:rPr>
          <w:b/>
          <w:bCs/>
        </w:rPr>
        <w:t xml:space="preserve">+0.6</w:t>
      </w:r>
      <w:r>
        <w:t xml:space="preserve"> total).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i/>
          <w:iCs/>
          <w:color w:val="6B6E73"/>
        </w:rPr>
        <w:t xml:space="preserve">Sequence reminder: build → demo → screenshots/footage → write these three from existing docs → publish with disclaimers. Companion docs: architecture.md (why), techstack.md (how to build), v0-prompts.md (frontend).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71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16171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6B6E7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2026-06-17T07:40:01.869Z</dcterms:created>
  <dcterms:modified xsi:type="dcterms:W3CDTF">2026-06-17T07:40:01.870Z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