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30D" w:rsidRPr="00D7030D" w:rsidRDefault="00D7030D" w:rsidP="00D7030D">
      <w:pPr>
        <w:widowControl/>
        <w:shd w:val="clear" w:color="auto" w:fill="FFFFFF"/>
        <w:spacing w:line="480" w:lineRule="auto"/>
        <w:ind w:firstLineChars="200" w:firstLine="540"/>
        <w:jc w:val="left"/>
        <w:rPr>
          <w:rFonts w:ascii="宋体" w:eastAsia="宋体" w:hAnsi="宋体" w:cs="宋体"/>
          <w:color w:val="444444"/>
          <w:kern w:val="0"/>
          <w:sz w:val="27"/>
          <w:szCs w:val="27"/>
        </w:rPr>
      </w:pPr>
      <w:r w:rsidRPr="00D7030D">
        <w:rPr>
          <w:rFonts w:ascii="宋体" w:eastAsia="宋体" w:hAnsi="宋体" w:cs="宋体" w:hint="eastAsia"/>
          <w:color w:val="444444"/>
          <w:kern w:val="0"/>
          <w:sz w:val="27"/>
          <w:szCs w:val="27"/>
        </w:rPr>
        <w:t>一、招收专业</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我校接收推免生的专业为除工商管理、公共管理两个专业学位招生专业以外的其他招生专业，</w:t>
      </w:r>
      <w:hyperlink r:id="rId4" w:tgtFrame="_blank" w:tooltip="具体招生专业" w:history="1">
        <w:r w:rsidRPr="00D7030D">
          <w:rPr>
            <w:rFonts w:ascii="Times New Roman" w:eastAsia="宋体" w:hAnsi="Times New Roman" w:cs="Times New Roman" w:hint="eastAsia"/>
            <w:color w:val="0066CC"/>
            <w:kern w:val="0"/>
            <w:sz w:val="24"/>
            <w:szCs w:val="24"/>
          </w:rPr>
          <w:t>具体招生专业</w:t>
        </w:r>
      </w:hyperlink>
      <w:r w:rsidRPr="00D7030D">
        <w:rPr>
          <w:rFonts w:ascii="宋体" w:eastAsia="宋体" w:hAnsi="宋体" w:cs="宋体" w:hint="eastAsia"/>
          <w:color w:val="444444"/>
          <w:kern w:val="0"/>
          <w:sz w:val="27"/>
          <w:szCs w:val="27"/>
        </w:rPr>
        <w:t>详见我校在教育部“推免服务系统”中公布的推免生招生专业目录或参考兰州大学</w:t>
      </w:r>
      <w:r w:rsidRPr="00D7030D">
        <w:rPr>
          <w:rFonts w:ascii="Times New Roman" w:eastAsia="宋体" w:hAnsi="Times New Roman" w:cs="Times New Roman" w:hint="eastAsia"/>
          <w:color w:val="444444"/>
          <w:kern w:val="0"/>
          <w:sz w:val="24"/>
          <w:szCs w:val="24"/>
        </w:rPr>
        <w:t>2015</w:t>
      </w:r>
      <w:r w:rsidRPr="00D7030D">
        <w:rPr>
          <w:rFonts w:ascii="宋体" w:eastAsia="宋体" w:hAnsi="宋体" w:cs="宋体" w:hint="eastAsia"/>
          <w:color w:val="444444"/>
          <w:kern w:val="0"/>
          <w:sz w:val="27"/>
          <w:szCs w:val="27"/>
        </w:rPr>
        <w:t>年硕士研究生招生简章。</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二、招收人数</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（一）</w:t>
      </w:r>
      <w:r w:rsidRPr="00D7030D">
        <w:rPr>
          <w:rFonts w:ascii="Times New Roman" w:eastAsia="宋体" w:hAnsi="Times New Roman" w:cs="Times New Roman" w:hint="eastAsia"/>
          <w:color w:val="444444"/>
          <w:kern w:val="0"/>
          <w:sz w:val="24"/>
          <w:szCs w:val="24"/>
        </w:rPr>
        <w:t>2016</w:t>
      </w:r>
      <w:r w:rsidRPr="00D7030D">
        <w:rPr>
          <w:rFonts w:ascii="宋体" w:eastAsia="宋体" w:hAnsi="宋体" w:cs="宋体" w:hint="eastAsia"/>
          <w:color w:val="444444"/>
          <w:kern w:val="0"/>
          <w:sz w:val="27"/>
          <w:szCs w:val="27"/>
        </w:rPr>
        <w:t>年，我校拟招收推免生</w:t>
      </w:r>
      <w:r w:rsidRPr="00D7030D">
        <w:rPr>
          <w:rFonts w:ascii="Times New Roman" w:eastAsia="宋体" w:hAnsi="Times New Roman" w:cs="Times New Roman" w:hint="eastAsia"/>
          <w:color w:val="444444"/>
          <w:kern w:val="0"/>
          <w:sz w:val="24"/>
          <w:szCs w:val="24"/>
        </w:rPr>
        <w:t>1113</w:t>
      </w:r>
      <w:r w:rsidRPr="00D7030D">
        <w:rPr>
          <w:rFonts w:ascii="宋体" w:eastAsia="宋体" w:hAnsi="宋体" w:cs="宋体" w:hint="eastAsia"/>
          <w:color w:val="444444"/>
          <w:kern w:val="0"/>
          <w:sz w:val="27"/>
          <w:szCs w:val="27"/>
        </w:rPr>
        <w:t>人（含校内、校外，下同），其中含学术学位直博生</w:t>
      </w:r>
      <w:r w:rsidRPr="00D7030D">
        <w:rPr>
          <w:rFonts w:ascii="Times New Roman" w:eastAsia="宋体" w:hAnsi="Times New Roman" w:cs="Times New Roman" w:hint="eastAsia"/>
          <w:color w:val="444444"/>
          <w:kern w:val="0"/>
          <w:sz w:val="24"/>
          <w:szCs w:val="24"/>
        </w:rPr>
        <w:t>50</w:t>
      </w:r>
      <w:r w:rsidRPr="00D7030D">
        <w:rPr>
          <w:rFonts w:ascii="宋体" w:eastAsia="宋体" w:hAnsi="宋体" w:cs="宋体" w:hint="eastAsia"/>
          <w:color w:val="444444"/>
          <w:kern w:val="0"/>
          <w:sz w:val="27"/>
          <w:szCs w:val="27"/>
        </w:rPr>
        <w:t>人。</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（二）</w:t>
      </w:r>
      <w:hyperlink r:id="rId5" w:tgtFrame="_blank" w:tooltip="推免生（含直博生）招收人数" w:history="1">
        <w:r w:rsidRPr="00D7030D">
          <w:rPr>
            <w:rFonts w:ascii="Times New Roman" w:eastAsia="宋体" w:hAnsi="Times New Roman" w:cs="Times New Roman" w:hint="eastAsia"/>
            <w:b/>
            <w:bCs/>
            <w:color w:val="0909F7"/>
            <w:kern w:val="0"/>
            <w:sz w:val="24"/>
            <w:szCs w:val="24"/>
          </w:rPr>
          <w:t>推免生（含直博生）招收人数</w:t>
        </w:r>
      </w:hyperlink>
      <w:r w:rsidRPr="00D7030D">
        <w:rPr>
          <w:rFonts w:ascii="宋体" w:eastAsia="宋体" w:hAnsi="宋体" w:cs="宋体" w:hint="eastAsia"/>
          <w:color w:val="444444"/>
          <w:kern w:val="0"/>
          <w:sz w:val="27"/>
          <w:szCs w:val="27"/>
        </w:rPr>
        <w:t>以招生学院为单位公布，各专业招生人数由各招生学院根据推免生报名情况在复试录取时自主确定。详见我校在教育部“推免服务系统”中公布的推免生招生专业目录或兰州大学研究生招生网页。</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三、招收条件</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（一）具有推荐免试授权高校的应届本科毕业生，并获得所在学校的推荐免试资格。</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（二）德、智、体全面发展，遵纪守法，诚实守信，身心健康。</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（三）在校期间学习成绩优秀，专业成绩和综合成绩名列本专业前茅；学术研究兴趣浓厚，有较好的专业素养，有较强的创新意识和创新能力，有较好的培养潜质。</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（四）毕业时必须获得学士学位。</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t>（五）无任何考试作弊、剽窃他人学术成果以及其他违法违纪等受处分记录。</w:t>
      </w:r>
    </w:p>
    <w:p w:rsidR="00D7030D" w:rsidRPr="00D7030D" w:rsidRDefault="00D7030D" w:rsidP="00D7030D">
      <w:pPr>
        <w:widowControl/>
        <w:shd w:val="clear" w:color="auto" w:fill="FFFFFF"/>
        <w:spacing w:line="480" w:lineRule="auto"/>
        <w:ind w:firstLineChars="200" w:firstLine="540"/>
        <w:jc w:val="left"/>
        <w:rPr>
          <w:rFonts w:ascii="宋体" w:eastAsia="宋体" w:hAnsi="宋体" w:cs="宋体" w:hint="eastAsia"/>
          <w:color w:val="444444"/>
          <w:kern w:val="0"/>
          <w:sz w:val="27"/>
          <w:szCs w:val="27"/>
        </w:rPr>
      </w:pPr>
      <w:r w:rsidRPr="00D7030D">
        <w:rPr>
          <w:rFonts w:ascii="宋体" w:eastAsia="宋体" w:hAnsi="宋体" w:cs="宋体" w:hint="eastAsia"/>
          <w:color w:val="444444"/>
          <w:kern w:val="0"/>
          <w:sz w:val="27"/>
          <w:szCs w:val="27"/>
        </w:rPr>
        <w:lastRenderedPageBreak/>
        <w:t>■申请直博生者，必须为“</w:t>
      </w:r>
      <w:r w:rsidRPr="00D7030D">
        <w:rPr>
          <w:rFonts w:ascii="Times New Roman" w:eastAsia="宋体" w:hAnsi="Times New Roman" w:cs="Times New Roman" w:hint="eastAsia"/>
          <w:color w:val="444444"/>
          <w:kern w:val="0"/>
          <w:sz w:val="24"/>
          <w:szCs w:val="24"/>
        </w:rPr>
        <w:t>985</w:t>
      </w:r>
      <w:r w:rsidRPr="00D7030D">
        <w:rPr>
          <w:rFonts w:ascii="宋体" w:eastAsia="宋体" w:hAnsi="宋体" w:cs="宋体" w:hint="eastAsia"/>
          <w:color w:val="444444"/>
          <w:kern w:val="0"/>
          <w:sz w:val="27"/>
          <w:szCs w:val="27"/>
        </w:rPr>
        <w:t>工程”院校且学习成绩排名进入国家基地班前</w:t>
      </w:r>
      <w:r w:rsidRPr="00D7030D">
        <w:rPr>
          <w:rFonts w:ascii="Times New Roman" w:eastAsia="宋体" w:hAnsi="Times New Roman" w:cs="Times New Roman" w:hint="eastAsia"/>
          <w:color w:val="444444"/>
          <w:kern w:val="0"/>
          <w:sz w:val="24"/>
          <w:szCs w:val="24"/>
        </w:rPr>
        <w:t>50%</w:t>
      </w:r>
      <w:r w:rsidRPr="00D7030D">
        <w:rPr>
          <w:rFonts w:ascii="宋体" w:eastAsia="宋体" w:hAnsi="宋体" w:cs="宋体" w:hint="eastAsia"/>
          <w:color w:val="444444"/>
          <w:kern w:val="0"/>
          <w:sz w:val="27"/>
          <w:szCs w:val="27"/>
        </w:rPr>
        <w:t>或省基地班前</w:t>
      </w:r>
      <w:r w:rsidRPr="00D7030D">
        <w:rPr>
          <w:rFonts w:ascii="Times New Roman" w:eastAsia="宋体" w:hAnsi="Times New Roman" w:cs="Times New Roman" w:hint="eastAsia"/>
          <w:color w:val="444444"/>
          <w:kern w:val="0"/>
          <w:sz w:val="24"/>
          <w:szCs w:val="24"/>
        </w:rPr>
        <w:t>20%</w:t>
      </w:r>
      <w:r w:rsidRPr="00D7030D">
        <w:rPr>
          <w:rFonts w:ascii="宋体" w:eastAsia="宋体" w:hAnsi="宋体" w:cs="宋体" w:hint="eastAsia"/>
          <w:color w:val="444444"/>
          <w:kern w:val="0"/>
          <w:sz w:val="27"/>
          <w:szCs w:val="27"/>
        </w:rPr>
        <w:t>或普通班前</w:t>
      </w:r>
      <w:r w:rsidRPr="00D7030D">
        <w:rPr>
          <w:rFonts w:ascii="Times New Roman" w:eastAsia="宋体" w:hAnsi="Times New Roman" w:cs="Times New Roman" w:hint="eastAsia"/>
          <w:color w:val="444444"/>
          <w:kern w:val="0"/>
          <w:sz w:val="24"/>
          <w:szCs w:val="24"/>
        </w:rPr>
        <w:t>5%</w:t>
      </w:r>
      <w:r w:rsidRPr="00D7030D">
        <w:rPr>
          <w:rFonts w:ascii="宋体" w:eastAsia="宋体" w:hAnsi="宋体" w:cs="宋体" w:hint="eastAsia"/>
          <w:color w:val="444444"/>
          <w:kern w:val="0"/>
          <w:sz w:val="27"/>
          <w:szCs w:val="27"/>
        </w:rPr>
        <w:t>的学生，其全国大学英语六级考试成绩达到</w:t>
      </w:r>
      <w:r w:rsidRPr="00D7030D">
        <w:rPr>
          <w:rFonts w:ascii="Times New Roman" w:eastAsia="宋体" w:hAnsi="Times New Roman" w:cs="Times New Roman" w:hint="eastAsia"/>
          <w:color w:val="444444"/>
          <w:kern w:val="0"/>
          <w:sz w:val="24"/>
          <w:szCs w:val="24"/>
        </w:rPr>
        <w:t>425</w:t>
      </w:r>
      <w:r w:rsidRPr="00D7030D">
        <w:rPr>
          <w:rFonts w:ascii="宋体" w:eastAsia="宋体" w:hAnsi="宋体" w:cs="宋体" w:hint="eastAsia"/>
          <w:color w:val="444444"/>
          <w:kern w:val="0"/>
          <w:sz w:val="27"/>
          <w:szCs w:val="27"/>
        </w:rPr>
        <w:t>分及以上，并有</w:t>
      </w:r>
      <w:r w:rsidRPr="00D7030D">
        <w:rPr>
          <w:rFonts w:ascii="Times New Roman" w:eastAsia="宋体" w:hAnsi="Times New Roman" w:cs="Times New Roman" w:hint="eastAsia"/>
          <w:color w:val="444444"/>
          <w:kern w:val="0"/>
          <w:sz w:val="24"/>
          <w:szCs w:val="24"/>
        </w:rPr>
        <w:t>2</w:t>
      </w:r>
      <w:r w:rsidRPr="00D7030D">
        <w:rPr>
          <w:rFonts w:ascii="宋体" w:eastAsia="宋体" w:hAnsi="宋体" w:cs="宋体" w:hint="eastAsia"/>
          <w:color w:val="444444"/>
          <w:kern w:val="0"/>
          <w:sz w:val="27"/>
          <w:szCs w:val="27"/>
        </w:rPr>
        <w:t>名正高职专家书面推荐。</w:t>
      </w:r>
    </w:p>
    <w:p w:rsidR="005F0FC7" w:rsidRDefault="00D7030D">
      <w:bookmarkStart w:id="0" w:name="_GoBack"/>
      <w:bookmarkEnd w:id="0"/>
    </w:p>
    <w:sectPr w:rsidR="005F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0D"/>
    <w:rsid w:val="0034515B"/>
    <w:rsid w:val="006F7FE2"/>
    <w:rsid w:val="0093059A"/>
    <w:rsid w:val="00992DCC"/>
    <w:rsid w:val="00D7030D"/>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5A8A"/>
  <w15:chartTrackingRefBased/>
  <w15:docId w15:val="{E692EB5C-8EB9-4F8E-9E1C-B3CA5C57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7030D"/>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681490">
      <w:bodyDiv w:val="1"/>
      <w:marLeft w:val="0"/>
      <w:marRight w:val="0"/>
      <w:marTop w:val="0"/>
      <w:marBottom w:val="0"/>
      <w:divBdr>
        <w:top w:val="none" w:sz="0" w:space="0" w:color="auto"/>
        <w:left w:val="none" w:sz="0" w:space="0" w:color="auto"/>
        <w:bottom w:val="none" w:sz="0" w:space="0" w:color="auto"/>
        <w:right w:val="none" w:sz="0" w:space="0" w:color="auto"/>
      </w:divBdr>
      <w:divsChild>
        <w:div w:id="956640174">
          <w:marLeft w:val="0"/>
          <w:marRight w:val="0"/>
          <w:marTop w:val="0"/>
          <w:marBottom w:val="0"/>
          <w:divBdr>
            <w:top w:val="none" w:sz="0" w:space="0" w:color="auto"/>
            <w:left w:val="none" w:sz="0" w:space="0" w:color="auto"/>
            <w:bottom w:val="none" w:sz="0" w:space="0" w:color="auto"/>
            <w:right w:val="none" w:sz="0" w:space="0" w:color="auto"/>
          </w:divBdr>
          <w:divsChild>
            <w:div w:id="76289157">
              <w:marLeft w:val="0"/>
              <w:marRight w:val="0"/>
              <w:marTop w:val="0"/>
              <w:marBottom w:val="0"/>
              <w:divBdr>
                <w:top w:val="single" w:sz="12" w:space="0" w:color="CCCCCC"/>
                <w:left w:val="none" w:sz="0" w:space="0" w:color="auto"/>
                <w:bottom w:val="none" w:sz="0" w:space="0" w:color="auto"/>
                <w:right w:val="none" w:sz="0" w:space="0" w:color="auto"/>
              </w:divBdr>
              <w:divsChild>
                <w:div w:id="1398867345">
                  <w:marLeft w:val="0"/>
                  <w:marRight w:val="0"/>
                  <w:marTop w:val="0"/>
                  <w:marBottom w:val="0"/>
                  <w:divBdr>
                    <w:top w:val="single" w:sz="6" w:space="0" w:color="E8E8E8"/>
                    <w:left w:val="single" w:sz="6" w:space="0" w:color="E8E8E8"/>
                    <w:bottom w:val="single" w:sz="6" w:space="0" w:color="E8E8E8"/>
                    <w:right w:val="single" w:sz="6" w:space="0" w:color="E8E8E8"/>
                  </w:divBdr>
                  <w:divsChild>
                    <w:div w:id="5333474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e.lzu.edu.cn/enroll/master/tjms/201509/6076.htm" TargetMode="External"/><Relationship Id="rId4" Type="http://schemas.openxmlformats.org/officeDocument/2006/relationships/hyperlink" Target="http://ge.lzu.edu.cn/enroll/master/tjms/201409/579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2017-03-10T05:06:00Z</dcterms:created>
  <dcterms:modified xsi:type="dcterms:W3CDTF">2017-03-10T05:06:00Z</dcterms:modified>
</cp:coreProperties>
</file>