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20" w:lineRule="auto"/>
        <w:jc w:val="center"/>
      </w:pPr>
      <w:r>
        <w:rPr>
          <w:rFonts w:ascii="Courier New" w:hAnsi="Courier New" w:eastAsia="Courier New"/>
          <w:b/>
          <w:i w:val="0"/>
          <w:color w:val="6D45B8"/>
          <w:sz w:val="18"/>
        </w:rPr>
        <w:t>SUPERTEAM VIETNAM · COLOSSEUM BUILDER PROGRAM</w:t>
      </w:r>
    </w:p>
    <w:p>
      <w:pPr>
        <w:spacing w:before="0" w:after="160" w:line="230" w:lineRule="auto"/>
        <w:jc w:val="center"/>
      </w:pPr>
      <w:r>
        <w:rPr>
          <w:rFonts w:ascii="Arial" w:hAnsi="Arial" w:eastAsia="Arial"/>
          <w:b/>
          <w:i w:val="0"/>
          <w:color w:val="151020"/>
          <w:sz w:val="60"/>
        </w:rPr>
        <w:t>Onchain Time</w:t>
        <w:br/>
        <w:t>Builder Sprint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6D45B8"/>
          <w:sz w:val="30"/>
        </w:rPr>
        <w:t>Program Funding &amp; Delivery Proposal</w:t>
      </w:r>
    </w:p>
    <w:p>
      <w:pPr>
        <w:spacing w:before="0" w:after="400" w:line="264" w:lineRule="auto"/>
        <w:jc w:val="center"/>
      </w:pPr>
      <w:r>
        <w:rPr>
          <w:rFonts w:ascii="Arial" w:hAnsi="Arial" w:eastAsia="Arial"/>
          <w:b w:val="0"/>
          <w:i/>
          <w:color w:val="625A6E"/>
          <w:sz w:val="23"/>
        </w:rPr>
        <w:t>Learn online. Build together. Iterate toward Colosseum.</w:t>
      </w:r>
    </w:p>
    <w:p>
      <w:pPr>
        <w:spacing w:before="0" w:after="280" w:line="320" w:lineRule="auto"/>
        <w:pBdr>
          <w:bottom w:val="single" w:sz="18" w:space="8" w:color="6D45B8"/>
        </w:pBdr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PREPARED FOR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Superteam Vietnam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PROGRAM OPENS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4 September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IN-PERSON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18–20 September 2026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LOCATION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Da Nang, Vietnam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PARTICIPANTS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70 builders · 11–12 teams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FORMAT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Friday night + 1.5 days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FUNDING REQUEST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VND 60 million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OPERATIONS LEAD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Danh</w:t>
            </w:r>
          </w:p>
        </w:tc>
      </w:tr>
    </w:tbl>
    <w:p>
      <w:pPr>
        <w:spacing w:before="0" w:after="20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E"/>
            <w:tcBorders>
              <w:top w:val="nil"/>
              <w:bottom w:val="nil"/>
              <w:start w:val="single" w:sz="24" w:color="267A55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267A55"/>
                <w:sz w:val="18"/>
              </w:rPr>
              <w:t xml:space="preserve">DECISION REQUESTED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Approve a VND 60 million program envelope for catering and operations, with the venue sourced separately as an in-kind partnership.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spacing w:before="0" w:after="0" w:line="264" w:lineRule="auto"/>
        <w:jc w:val="center"/>
      </w:pPr>
      <w:r>
        <w:rPr>
          <w:rFonts w:ascii="Arial" w:hAnsi="Arial" w:eastAsia="Arial"/>
          <w:b w:val="0"/>
          <w:i w:val="0"/>
          <w:color w:val="625A6E"/>
          <w:sz w:val="18"/>
        </w:rPr>
        <w:t>Prepared by Hieu and the organizing team · 31 August 2026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01 / FUNDING CASE</w:t>
      </w:r>
    </w:p>
    <w:p>
      <w:pPr>
        <w:pStyle w:val="Heading1"/>
      </w:pPr>
      <w:r>
        <w:t>A compact activation program for the Colosseum pipeline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Onchain Time Builder Sprint gives Vietnam-based builders two weeks of structured online preparation and a focused Da Nang build weekend. It is designed as part of Superteam Vietnam's Colosseum subtrack effort: teams leave with real products, public iteration evidence and a clear continuation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E9F8"/>
            <w:tcBorders>
              <w:top w:val="nil"/>
              <w:bottom w:val="nil"/>
              <w:start w:val="single" w:sz="24" w:color="6D45B8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6D45B8"/>
                <w:sz w:val="18"/>
              </w:rPr>
              <w:t xml:space="preserve">FUNDING PURPOSE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The requested VND 60 million pays for participant catering and accountable event operations. It does not fund a local prize pool, venue rent or website-development labor.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pStyle w:val="Heading2"/>
      </w:pPr>
      <w:r>
        <w:t>What Superteam Vietnam is funding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Funding objective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Delivery commitment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Builder access</w:t>
            </w:r>
          </w:p>
        </w:tc>
        <w:tc>
          <w:tcPr>
            <w:tcW w:type="dxa" w:w="63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Keep the in-person program free for selected participants and provide essential meals and hydration.</w:t>
            </w:r>
          </w:p>
        </w:tc>
      </w:tr>
      <w:tr>
        <w:trPr>
          <w:cantSplit/>
        </w:trPr>
        <w:tc>
          <w:tcPr>
            <w:tcW w:type="dxa" w:w="30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Operational reliability</w:t>
            </w:r>
          </w:p>
        </w:tc>
        <w:tc>
          <w:tcPr>
            <w:tcW w:type="dxa" w:w="63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Fund named delivery ownership, event crew, connectivity backup, safety supplies, signage and documentation.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Subtrack readiness</w:t>
            </w:r>
          </w:p>
        </w:tc>
        <w:tc>
          <w:tcPr>
            <w:tcW w:type="dxa" w:w="63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Move 11–12 teams from early concepts to submitted working checkpoints and clear next-step plans.</w:t>
            </w:r>
          </w:p>
        </w:tc>
      </w:tr>
      <w:tr>
        <w:trPr>
          <w:cantSplit/>
        </w:trPr>
        <w:tc>
          <w:tcPr>
            <w:tcW w:type="dxa" w:w="30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Ecosystem visibility</w:t>
            </w:r>
          </w:p>
        </w:tc>
        <w:tc>
          <w:tcPr>
            <w:tcW w:type="dxa" w:w="63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Publish projects, participation evidence, approved media and a post-event outcome report.</w:t>
            </w:r>
          </w:p>
        </w:tc>
      </w:tr>
    </w:tbl>
    <w:p>
      <w:pPr>
        <w:pStyle w:val="Heading2"/>
      </w:pPr>
      <w:r>
        <w:t>Expected headline outcomes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Approximately 70 participating builders organized into 11–12 teams.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11–12 direct website submissions completed before Sunday demos.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At least 80% of teams publishing two or more meaningful iteration checkpoints.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At least eight teams continuing toward the Superteam Vietnam Colosseum subtrack.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 documented and repeatable online-to-offline builder-program model for future cohorts.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02 / PROGRAM DESIGN</w:t>
      </w:r>
    </w:p>
    <w:p>
      <w:pPr>
        <w:pStyle w:val="Heading1"/>
      </w:pPr>
      <w:r>
        <w:t>Online learning first; in-person time for execution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program website is the learning and iteration layer, not merely a registration page. Materials open two weeks before the event, and all projects, checkpoints, feedback and final submissions are recorded directly online.</w:t>
      </w:r>
    </w:p>
    <w:p>
      <w:pPr>
        <w:pStyle w:val="Heading2"/>
      </w:pPr>
      <w:r>
        <w:t>Program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Online preparation</w:t>
            </w:r>
          </w:p>
        </w:tc>
        <w:tc>
          <w:tcPr>
            <w:tcW w:type="dxa" w:w="6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All learning material and build guidance available from 4 September; teams form, define users and begin project pages online.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In-person acceleration</w:t>
            </w:r>
          </w:p>
        </w:tc>
        <w:tc>
          <w:tcPr>
            <w:tcW w:type="dxa" w:w="6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Friday kickoff, a focused Saturday build day and a Sunday morning demo-and-feedback session.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Website workflow</w:t>
            </w:r>
          </w:p>
        </w:tc>
        <w:tc>
          <w:tcPr>
            <w:tcW w:type="dxa" w:w="6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Learning, team workspaces, checkpoints, feedback and final submission all live on the program website.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Output</w:t>
            </w:r>
          </w:p>
        </w:tc>
        <w:tc>
          <w:tcPr>
            <w:tcW w:type="dxa" w:w="6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11–12 working project submissions, each with a defined user, functioning product journey and continuation plan.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Incentive model</w:t>
            </w:r>
          </w:p>
        </w:tc>
        <w:tc>
          <w:tcPr>
            <w:tcW w:type="dxa" w:w="6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No local prize. Teams build toward the Superteam Vietnam Colosseum subtrack, with a stated total prize pool of US$10,000.</w:t>
            </w:r>
          </w:p>
        </w:tc>
      </w:tr>
    </w:tbl>
    <w:p>
      <w:pPr>
        <w:pStyle w:val="Heading2"/>
      </w:pPr>
      <w:r>
        <w:t>Why this format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Preparation happens before the room. </w:t>
      </w:r>
      <w:r>
        <w:rPr>
          <w:rFonts w:ascii="Arial" w:hAnsi="Arial" w:eastAsia="Arial"/>
          <w:color w:val="151020"/>
          <w:sz w:val="22"/>
        </w:rPr>
        <w:t>The website carries the learning load, so venue time is used for building, testing and mentor feedback.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The weekend is deliberately compact. </w:t>
      </w:r>
      <w:r>
        <w:rPr>
          <w:rFonts w:ascii="Arial" w:hAnsi="Arial" w:eastAsia="Arial"/>
          <w:color w:val="151020"/>
          <w:sz w:val="22"/>
        </w:rPr>
        <w:t>Saturday ends at 17:00 without dinner; Sunday closes at 11:30 without lunch.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Iteration leads to continuation. </w:t>
      </w:r>
      <w:r>
        <w:rPr>
          <w:rFonts w:ascii="Arial" w:hAnsi="Arial" w:eastAsia="Arial"/>
          <w:color w:val="151020"/>
          <w:sz w:val="22"/>
        </w:rPr>
        <w:t>Teams are recognized for progress—not ranked locally—and their project histories remain online through the Colosseum cycle.</w:t>
      </w:r>
    </w:p>
    <w:p>
      <w:pPr>
        <w:pStyle w:val="Heading2"/>
      </w:pPr>
      <w:r>
        <w:t>Website journey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Learn. </w:t>
      </w:r>
      <w:r>
        <w:rPr>
          <w:rFonts w:ascii="Arial" w:hAnsi="Arial" w:eastAsia="Arial"/>
          <w:color w:val="151020"/>
          <w:sz w:val="22"/>
        </w:rPr>
        <w:t>Review the prompt, Solana resources, rules and build guidance.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Form. </w:t>
      </w:r>
      <w:r>
        <w:rPr>
          <w:rFonts w:ascii="Arial" w:hAnsi="Arial" w:eastAsia="Arial"/>
          <w:color w:val="151020"/>
          <w:sz w:val="22"/>
        </w:rPr>
        <w:t>Create a team, choose a user niche and publish the problem.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Build. </w:t>
      </w:r>
      <w:r>
        <w:rPr>
          <w:rFonts w:ascii="Arial" w:hAnsi="Arial" w:eastAsia="Arial"/>
          <w:color w:val="151020"/>
          <w:sz w:val="22"/>
        </w:rPr>
        <w:t>Maintain links, milestones, evidence and an iteration log.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Submit. </w:t>
      </w:r>
      <w:r>
        <w:rPr>
          <w:rFonts w:ascii="Arial" w:hAnsi="Arial" w:eastAsia="Arial"/>
          <w:color w:val="151020"/>
          <w:sz w:val="22"/>
        </w:rPr>
        <w:t>Finalize the same project page directly on the website.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Continue. </w:t>
      </w:r>
      <w:r>
        <w:rPr>
          <w:rFonts w:ascii="Arial" w:hAnsi="Arial" w:eastAsia="Arial"/>
          <w:color w:val="151020"/>
          <w:sz w:val="22"/>
        </w:rPr>
        <w:t>Use its history and feedback to prepare the subtrack entry.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03 / IN-PERSON DELIVERY</w:t>
      </w:r>
    </w:p>
    <w:p>
      <w:pPr>
        <w:pStyle w:val="Heading1"/>
      </w:pPr>
      <w:r>
        <w:t>One evening, one full day and one focused morning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schedule protects deep building time while controlling food and operating costs. There is no Saturday dinner, no overnight program and no Sunday lunch.</w:t>
      </w:r>
    </w:p>
    <w:p>
      <w:pPr>
        <w:pStyle w:val="Heading2"/>
      </w:pPr>
      <w:r>
        <w:t>Friday, 18 September · kickoff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17:30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Registration and light dinner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Teams checked in and settled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18:15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Welcome, program purpose and partner acknowledgement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Shared expectations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18:35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Build prompt, safeguards and website workflow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Submission requirements understood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19:00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 plan review and mentor office hours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Saturday priorities locked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20:30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Checkpoint published on website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Visible starting point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21:00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Participant close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No overnight program</w:t>
            </w:r>
          </w:p>
        </w:tc>
      </w:tr>
    </w:tbl>
    <w:p>
      <w:pPr>
        <w:pStyle w:val="Heading2"/>
      </w:pPr>
      <w:r>
        <w:t>Saturday, 19 September · build and iterate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09:00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Stand-up and technical readiness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Blockers surfaced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09:20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Focused build block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Core journey implemented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11:45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Checkpoint review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Evidence and next changes recorded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12:00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Lunch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On-site meal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13:00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Build, user testing and mentor rotations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Product iteration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15:15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 break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Short reset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15:35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Final Saturday build block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 path stabilized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16:35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Website checkpoint and Sunday briefing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Submission plan confirmed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17:00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Close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No Saturday dinner</w:t>
            </w:r>
          </w:p>
        </w:tc>
      </w:tr>
    </w:tbl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04 / DEMO AND SUBMISSION</w:t>
      </w:r>
    </w:p>
    <w:p>
      <w:pPr>
        <w:pStyle w:val="Heading1"/>
      </w:pPr>
      <w:r>
        <w:t>Twelve teams can demo within two hours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Sunday is a feedback checkpoint, not a local awards ceremony. Two parallel tracks provide enough capacity for every expected team while allowing the event to close at 11:30.</w:t>
      </w:r>
    </w:p>
    <w:p>
      <w:pPr>
        <w:pStyle w:val="Heading2"/>
      </w:pPr>
      <w:r>
        <w:t>Sunday, 20 September · 08:30–11:30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08:30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Coffee, light breakfast and final fixes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Demo-ready project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09:15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Direct website submission deadline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Stable project page and QR code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09:20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 briefing and track assignment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Teams and audiences positioned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09:25–10:55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Six rounds across two parallel demo tracks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Capacity for 12 complete demos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10:55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Feedback capture and transition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Next changes recorded online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11:05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Subtrack continuation plan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Owners, dates and pathway confirmed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11:20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Partner acknowledgement, photo and close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closes before lunch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11:30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Participants depart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No Sunday lunch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E"/>
            <w:tcBorders>
              <w:top w:val="nil"/>
              <w:bottom w:val="nil"/>
              <w:start w:val="single" w:sz="24" w:color="267A55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267A55"/>
                <w:sz w:val="18"/>
              </w:rPr>
              <w:t xml:space="preserve">DEMO CAPACITY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2 tracks × 6 rounds = 12 team demos. Each 15-minute slot allows approximately 7 minutes for the product, 5 minutes for feedback and 3 minutes for transition.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Two separated zones. </w:t>
      </w:r>
      <w:r>
        <w:rPr>
          <w:rFonts w:ascii="Arial" w:hAnsi="Arial" w:eastAsia="Arial"/>
          <w:color w:val="151020"/>
          <w:sz w:val="22"/>
        </w:rPr>
        <w:t>Each track needs a display, power, clear sound and one anchor mentor or facilitator.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Website-first evidence. </w:t>
      </w:r>
      <w:r>
        <w:rPr>
          <w:rFonts w:ascii="Arial" w:hAnsi="Arial" w:eastAsia="Arial"/>
          <w:color w:val="151020"/>
          <w:sz w:val="22"/>
        </w:rPr>
        <w:t>Every demo begins from the submitted project page and QR code.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No local ranking. </w:t>
      </w:r>
      <w:r>
        <w:rPr>
          <w:rFonts w:ascii="Arial" w:hAnsi="Arial" w:eastAsia="Arial"/>
          <w:color w:val="151020"/>
          <w:sz w:val="22"/>
        </w:rPr>
        <w:t>The close recognizes progress and readiness; the external subtrack governs its own eligibility and prizes.</w:t>
      </w:r>
    </w:p>
    <w:p>
      <w:pPr>
        <w:pStyle w:val="Heading2"/>
      </w:pPr>
      <w:r>
        <w:t>Feedback lenses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Lens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Question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User clarity</w:t>
            </w:r>
          </w:p>
        </w:tc>
        <w:tc>
          <w:tcPr>
            <w:tcW w:type="dxa" w:w="72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Is the target user specific and credible?</w:t>
            </w:r>
          </w:p>
        </w:tc>
      </w:tr>
      <w:tr>
        <w:trPr>
          <w:cantSplit/>
        </w:trPr>
        <w:tc>
          <w:tcPr>
            <w:tcW w:type="dxa" w:w="21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Value</w:t>
            </w:r>
          </w:p>
        </w:tc>
        <w:tc>
          <w:tcPr>
            <w:tcW w:type="dxa" w:w="72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Does the time-based exchange solve a real problem?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Product</w:t>
            </w:r>
          </w:p>
        </w:tc>
        <w:tc>
          <w:tcPr>
            <w:tcW w:type="dxa" w:w="72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Can a user complete the essential journey?</w:t>
            </w:r>
          </w:p>
        </w:tc>
      </w:tr>
      <w:tr>
        <w:trPr>
          <w:cantSplit/>
        </w:trPr>
        <w:tc>
          <w:tcPr>
            <w:tcW w:type="dxa" w:w="21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Evidence</w:t>
            </w:r>
          </w:p>
        </w:tc>
        <w:tc>
          <w:tcPr>
            <w:tcW w:type="dxa" w:w="72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What did the team learn from real feedback or behavior?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Iteration</w:t>
            </w:r>
          </w:p>
        </w:tc>
        <w:tc>
          <w:tcPr>
            <w:tcW w:type="dxa" w:w="72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What changed across checkpoints, and why?</w:t>
            </w:r>
          </w:p>
        </w:tc>
      </w:tr>
      <w:tr>
        <w:trPr>
          <w:cantSplit/>
        </w:trPr>
        <w:tc>
          <w:tcPr>
            <w:tcW w:type="dxa" w:w="21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Continuation</w:t>
            </w:r>
          </w:p>
        </w:tc>
        <w:tc>
          <w:tcPr>
            <w:tcW w:type="dxa" w:w="72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What is the team's next test during Colosseum?</w:t>
            </w:r>
          </w:p>
        </w:tc>
      </w:tr>
    </w:tbl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05 / DELIVERY OWNERSHIP</w:t>
      </w:r>
    </w:p>
    <w:p>
      <w:pPr>
        <w:pStyle w:val="Heading1"/>
      </w:pPr>
      <w:r>
        <w:t>Clear accountability across program and operations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Danh serves as operations lead, with authority over readiness, suppliers, crew and live-event escalation. Hieu owns program direction, ecosystem coordination and the funding relationship.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6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Accountability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Hieu · program lead</w:t>
            </w:r>
          </w:p>
        </w:tc>
        <w:tc>
          <w:tcPr>
            <w:tcW w:type="dxa" w:w="66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design, Superteam Vietnam coordination, venue relationship, learning direction and final outcome report.</w:t>
            </w:r>
          </w:p>
        </w:tc>
      </w:tr>
      <w:tr>
        <w:trPr>
          <w:cantSplit/>
        </w:trPr>
        <w:tc>
          <w:tcPr>
            <w:tcW w:type="dxa" w:w="27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Danh · operations lead</w:t>
            </w:r>
          </w:p>
        </w:tc>
        <w:tc>
          <w:tcPr>
            <w:tcW w:type="dxa" w:w="66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Master run of show, procurement, crew roster, venue readiness, participant service and incident escalation.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Mentors · to be confirmed</w:t>
            </w:r>
          </w:p>
        </w:tc>
        <w:tc>
          <w:tcPr>
            <w:tcW w:type="dxa" w:w="66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Product, technical and go-to-market feedback online and during the build weekend.</w:t>
            </w:r>
          </w:p>
        </w:tc>
      </w:tr>
      <w:tr>
        <w:trPr>
          <w:cantSplit/>
        </w:trPr>
        <w:tc>
          <w:tcPr>
            <w:tcW w:type="dxa" w:w="27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Four-person event crew</w:t>
            </w:r>
          </w:p>
        </w:tc>
        <w:tc>
          <w:tcPr>
            <w:tcW w:type="dxa" w:w="66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Registration, room operations, catering, timekeeping, technical support and documentation.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Venue partner</w:t>
            </w:r>
          </w:p>
        </w:tc>
        <w:tc>
          <w:tcPr>
            <w:tcW w:type="dxa" w:w="66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In-kind space, utilities, agreed furniture/AV, security, cleaning and venue technical contact.</w:t>
            </w:r>
          </w:p>
        </w:tc>
      </w:tr>
      <w:tr>
        <w:trPr>
          <w:cantSplit/>
        </w:trPr>
        <w:tc>
          <w:tcPr>
            <w:tcW w:type="dxa" w:w="27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Community collaborators</w:t>
            </w:r>
          </w:p>
        </w:tc>
        <w:tc>
          <w:tcPr>
            <w:tcW w:type="dxa" w:w="66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Local outreach and community support, subject to confirmation.</w:t>
            </w:r>
          </w:p>
        </w:tc>
      </w:tr>
    </w:tbl>
    <w:p>
      <w:pPr>
        <w:pStyle w:val="Heading2"/>
      </w:pPr>
      <w:r>
        <w:t>Operating checkpoints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By 4 September. </w:t>
      </w:r>
      <w:r>
        <w:rPr>
          <w:rFonts w:ascii="Arial" w:hAnsi="Arial" w:eastAsia="Arial"/>
          <w:color w:val="151020"/>
          <w:sz w:val="22"/>
        </w:rPr>
        <w:t>Confirm funding, venue direction, website readiness and public program message.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By 11 September. </w:t>
      </w:r>
      <w:r>
        <w:rPr>
          <w:rFonts w:ascii="Arial" w:hAnsi="Arial" w:eastAsia="Arial"/>
          <w:color w:val="151020"/>
          <w:sz w:val="22"/>
        </w:rPr>
        <w:t>Confirm suppliers, crew, mentors, registration status and draft room plan.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By 17 September. </w:t>
      </w:r>
      <w:r>
        <w:rPr>
          <w:rFonts w:ascii="Arial" w:hAnsi="Arial" w:eastAsia="Arial"/>
          <w:color w:val="151020"/>
          <w:sz w:val="22"/>
        </w:rPr>
        <w:t>Complete readiness gate for teams, dietary/accessibility lists, venue test and demo-track plan.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Each event day. </w:t>
      </w:r>
      <w:r>
        <w:rPr>
          <w:rFonts w:ascii="Arial" w:hAnsi="Arial" w:eastAsia="Arial"/>
          <w:color w:val="151020"/>
          <w:sz w:val="22"/>
        </w:rPr>
        <w:t>Run internet, power, AV, safety, QR-code and supplier checks before doors open.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By 27 September. </w:t>
      </w:r>
      <w:r>
        <w:rPr>
          <w:rFonts w:ascii="Arial" w:hAnsi="Arial" w:eastAsia="Arial"/>
          <w:color w:val="151020"/>
          <w:sz w:val="22"/>
        </w:rPr>
        <w:t>Deliver the outcome report, financial reconciliation and project continuation status.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06 / FUNDING REQUEST</w:t>
      </w:r>
    </w:p>
    <w:p>
      <w:pPr>
        <w:pStyle w:val="Heading1"/>
      </w:pPr>
      <w:r>
        <w:t>VND 60 million for catering and operations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cash plan is built for 80 catered people: approximately 70 builders plus mentors, crew and partners. Venue rental is excluded because the venue will be requested as an in-kind contribution.</w:t>
      </w:r>
    </w:p>
    <w:p>
      <w:pPr>
        <w:pStyle w:val="Heading2"/>
      </w:pPr>
      <w:r>
        <w:t>Catering · VND 25.6 million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2790"/>
        <w:gridCol w:w="2520"/>
      </w:tblGrid>
      <w:tr>
        <w:trPr>
          <w:tblHeader w:val="true"/>
        </w:trPr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Planning basis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righ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Budget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Friday light dinner</w:t>
            </w:r>
          </w:p>
        </w:tc>
        <w:tc>
          <w:tcPr>
            <w:tcW w:type="dxa" w:w="279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80 × VND 80,000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6.4m</w:t>
            </w:r>
          </w:p>
        </w:tc>
      </w:tr>
      <w:tr>
        <w:trPr>
          <w:cantSplit/>
        </w:trPr>
        <w:tc>
          <w:tcPr>
            <w:tcW w:type="dxa" w:w="405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Saturday lunch</w:t>
            </w:r>
          </w:p>
        </w:tc>
        <w:tc>
          <w:tcPr>
            <w:tcW w:type="dxa" w:w="279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80 × VND 80,000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6.4m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Saturday tea break</w:t>
            </w:r>
          </w:p>
        </w:tc>
        <w:tc>
          <w:tcPr>
            <w:tcW w:type="dxa" w:w="279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80 × VND 55,000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4.4m</w:t>
            </w:r>
          </w:p>
        </w:tc>
      </w:tr>
      <w:tr>
        <w:trPr>
          <w:cantSplit/>
        </w:trPr>
        <w:tc>
          <w:tcPr>
            <w:tcW w:type="dxa" w:w="405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Sunday coffee + light breakfast</w:t>
            </w:r>
          </w:p>
        </w:tc>
        <w:tc>
          <w:tcPr>
            <w:tcW w:type="dxa" w:w="279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80 × VND 55,000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4.4m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Water and continuous coffee</w:t>
            </w:r>
          </w:p>
        </w:tc>
        <w:tc>
          <w:tcPr>
            <w:tcW w:type="dxa" w:w="279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Weekend provision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2.4m</w:t>
            </w:r>
          </w:p>
        </w:tc>
      </w:tr>
      <w:tr>
        <w:trPr>
          <w:cantSplit/>
        </w:trPr>
        <w:tc>
          <w:tcPr>
            <w:tcW w:type="dxa" w:w="405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Delivery and dietary buffer</w:t>
            </w:r>
          </w:p>
        </w:tc>
        <w:tc>
          <w:tcPr>
            <w:tcW w:type="dxa" w:w="279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Approximately 5%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1.6m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Catering subtotal</w:t>
            </w:r>
          </w:p>
        </w:tc>
        <w:tc>
          <w:tcPr>
            <w:tcW w:type="dxa" w:w="279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25.6m</w:t>
            </w:r>
          </w:p>
        </w:tc>
      </w:tr>
    </w:tbl>
    <w:p>
      <w:pPr>
        <w:pStyle w:val="Heading2"/>
      </w:pPr>
      <w:r>
        <w:t>Operations · VND 28.0 million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10"/>
        <w:gridCol w:w="3030"/>
        <w:gridCol w:w="2520"/>
      </w:tblGrid>
      <w:tr>
        <w:trPr>
          <w:tblHeader w:val="true"/>
        </w:trPr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righ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Budget</w:t>
            </w:r>
          </w:p>
        </w:tc>
      </w:tr>
      <w:tr>
        <w:trPr>
          <w:cantSplit/>
        </w:trPr>
        <w:tc>
          <w:tcPr>
            <w:tcW w:type="dxa" w:w="381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Operations lead</w:t>
            </w:r>
          </w:p>
        </w:tc>
        <w:tc>
          <w:tcPr>
            <w:tcW w:type="dxa" w:w="303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Planning and delivery leadership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8.0m</w:t>
            </w:r>
          </w:p>
        </w:tc>
      </w:tr>
      <w:tr>
        <w:trPr>
          <w:cantSplit/>
        </w:trPr>
        <w:tc>
          <w:tcPr>
            <w:tcW w:type="dxa" w:w="381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Event crew</w:t>
            </w:r>
          </w:p>
        </w:tc>
        <w:tc>
          <w:tcPr>
            <w:tcW w:type="dxa" w:w="303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Four-person support across 2.5 days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4.5m</w:t>
            </w:r>
          </w:p>
        </w:tc>
      </w:tr>
      <w:tr>
        <w:trPr>
          <w:cantSplit/>
        </w:trPr>
        <w:tc>
          <w:tcPr>
            <w:tcW w:type="dxa" w:w="381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AV, internet and power backup</w:t>
            </w:r>
          </w:p>
        </w:tc>
        <w:tc>
          <w:tcPr>
            <w:tcW w:type="dxa" w:w="303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Only for gaps in venue provision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3.0m</w:t>
            </w:r>
          </w:p>
        </w:tc>
      </w:tr>
      <w:tr>
        <w:trPr>
          <w:cantSplit/>
        </w:trPr>
        <w:tc>
          <w:tcPr>
            <w:tcW w:type="dxa" w:w="381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Photography and media</w:t>
            </w:r>
          </w:p>
        </w:tc>
        <w:tc>
          <w:tcPr>
            <w:tcW w:type="dxa" w:w="303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Selected event coverage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4.0m</w:t>
            </w:r>
          </w:p>
        </w:tc>
      </w:tr>
      <w:tr>
        <w:trPr>
          <w:cantSplit/>
        </w:trPr>
        <w:tc>
          <w:tcPr>
            <w:tcW w:type="dxa" w:w="381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Printing and signage</w:t>
            </w:r>
          </w:p>
        </w:tc>
        <w:tc>
          <w:tcPr>
            <w:tcW w:type="dxa" w:w="303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Badges, schedules and partner visibility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2.5m</w:t>
            </w:r>
          </w:p>
        </w:tc>
      </w:tr>
      <w:tr>
        <w:trPr>
          <w:cantSplit/>
        </w:trPr>
        <w:tc>
          <w:tcPr>
            <w:tcW w:type="dxa" w:w="381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Supplies, first aid and cleaning buffer</w:t>
            </w:r>
          </w:p>
        </w:tc>
        <w:tc>
          <w:tcPr>
            <w:tcW w:type="dxa" w:w="303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Consumables and safety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2.5m</w:t>
            </w:r>
          </w:p>
        </w:tc>
      </w:tr>
      <w:tr>
        <w:trPr>
          <w:cantSplit/>
        </w:trPr>
        <w:tc>
          <w:tcPr>
            <w:tcW w:type="dxa" w:w="381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Mentor and local transport</w:t>
            </w:r>
          </w:p>
        </w:tc>
        <w:tc>
          <w:tcPr>
            <w:tcW w:type="dxa" w:w="303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Reasonable reimbursements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2.0m</w:t>
            </w:r>
          </w:p>
        </w:tc>
      </w:tr>
      <w:tr>
        <w:trPr>
          <w:cantSplit/>
        </w:trPr>
        <w:tc>
          <w:tcPr>
            <w:tcW w:type="dxa" w:w="381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Website operating services</w:t>
            </w:r>
          </w:p>
        </w:tc>
        <w:tc>
          <w:tcPr>
            <w:tcW w:type="dxa" w:w="303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Hosting, email and storage; not development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1.5m</w:t>
            </w:r>
          </w:p>
        </w:tc>
      </w:tr>
      <w:tr>
        <w:trPr>
          <w:cantSplit/>
        </w:trPr>
        <w:tc>
          <w:tcPr>
            <w:tcW w:type="dxa" w:w="381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Operations subtotal</w:t>
            </w:r>
          </w:p>
        </w:tc>
        <w:tc>
          <w:tcPr>
            <w:tcW w:type="dxa" w:w="303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7"/>
              </w:rPr>
              <w:t>VND 28.0m</w:t>
            </w:r>
          </w:p>
        </w:tc>
      </w:tr>
    </w:tbl>
    <w:p>
      <w:pPr>
        <w:pStyle w:val="Heading2"/>
      </w:pPr>
      <w:r>
        <w:t>Funding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0"/>
        <w:gridCol w:w="2400"/>
        <w:gridCol w:w="1860"/>
      </w:tblGrid>
      <w:tr>
        <w:trPr>
          <w:tblHeader w:val="true"/>
        </w:trPr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righ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righ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Share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Catering</w:t>
            </w:r>
          </w:p>
        </w:tc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25.6m</w:t>
            </w:r>
          </w:p>
        </w:tc>
        <w:tc>
          <w:tcPr>
            <w:tcW w:type="dxa" w:w="18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42.7%</w:t>
            </w:r>
          </w:p>
        </w:tc>
      </w:tr>
      <w:tr>
        <w:trPr>
          <w:cantSplit/>
        </w:trPr>
        <w:tc>
          <w:tcPr>
            <w:tcW w:type="dxa" w:w="51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Operations</w:t>
            </w:r>
          </w:p>
        </w:tc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28.0m</w:t>
            </w:r>
          </w:p>
        </w:tc>
        <w:tc>
          <w:tcPr>
            <w:tcW w:type="dxa" w:w="18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46.7%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Contingency and procurement variation</w:t>
            </w:r>
          </w:p>
        </w:tc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6.4m</w:t>
            </w:r>
          </w:p>
        </w:tc>
        <w:tc>
          <w:tcPr>
            <w:tcW w:type="dxa" w:w="18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10.6%</w:t>
            </w:r>
          </w:p>
        </w:tc>
      </w:tr>
      <w:tr>
        <w:trPr>
          <w:cantSplit/>
        </w:trPr>
        <w:tc>
          <w:tcPr>
            <w:tcW w:type="dxa" w:w="51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Total funding requested</w:t>
            </w:r>
          </w:p>
        </w:tc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VND 60.0m</w:t>
            </w:r>
          </w:p>
        </w:tc>
        <w:tc>
          <w:tcPr>
            <w:tcW w:type="dxa" w:w="18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right"/>
            </w:pPr>
            <w:r>
              <w:rPr>
                <w:rFonts w:ascii="Arial" w:hAnsi="Arial" w:eastAsia="Arial"/>
                <w:color w:val="151020"/>
                <w:sz w:val="18"/>
              </w:rPr>
              <w:t>100%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5DD"/>
            <w:tcBorders>
              <w:top w:val="nil"/>
              <w:bottom w:val="nil"/>
              <w:start w:val="single" w:sz="24" w:color="8A5A00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8A5A00"/>
                <w:sz w:val="18"/>
              </w:rPr>
              <w:t xml:space="preserve">EXCLUSIONS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No local prize pool · no venue rent · no website-development labor · mentors unpaid except reasonable transport · the US$10,000 subtrack prize pool is external to this event budget.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07 / FINANCIAL CONTROLS</w:t>
      </w:r>
    </w:p>
    <w:p>
      <w:pPr>
        <w:pStyle w:val="Heading1"/>
      </w:pPr>
      <w:r>
        <w:t>A simple, accountable use-of-funds process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funding envelope should move fast enough to secure suppliers while remaining easy to reconcile. The following controls are proposed for agreement with Superteam Vietnam.</w:t>
      </w:r>
    </w:p>
    <w:p>
      <w:pPr>
        <w:pStyle w:val="Heading2"/>
      </w:pPr>
      <w:r>
        <w:t>Recommended funding process</w:t>
      </w:r>
    </w:p>
    <w:p>
      <w:pPr>
        <w:numPr>
          <w:ilvl w:val="0"/>
          <w:numId w:val="13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Approve the envelope. </w:t>
      </w:r>
      <w:r>
        <w:rPr>
          <w:rFonts w:ascii="Arial" w:hAnsi="Arial" w:eastAsia="Arial"/>
          <w:color w:val="151020"/>
          <w:sz w:val="22"/>
        </w:rPr>
        <w:t>Confirm the VND 60 million cap and eligible categories before supplier commitments.</w:t>
      </w:r>
    </w:p>
    <w:p>
      <w:pPr>
        <w:numPr>
          <w:ilvl w:val="0"/>
          <w:numId w:val="13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Release funds before supplier deadlines. </w:t>
      </w:r>
      <w:r>
        <w:rPr>
          <w:rFonts w:ascii="Arial" w:hAnsi="Arial" w:eastAsia="Arial"/>
          <w:color w:val="151020"/>
          <w:sz w:val="22"/>
        </w:rPr>
        <w:t>A single pre-event transfer is operationally simplest; any tranche arrangement should still cover deposits and procurement by 7 September.</w:t>
      </w:r>
    </w:p>
    <w:p>
      <w:pPr>
        <w:numPr>
          <w:ilvl w:val="0"/>
          <w:numId w:val="13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Record commitments. </w:t>
      </w:r>
      <w:r>
        <w:rPr>
          <w:rFonts w:ascii="Arial" w:hAnsi="Arial" w:eastAsia="Arial"/>
          <w:color w:val="151020"/>
          <w:sz w:val="22"/>
        </w:rPr>
        <w:t>Danh maintains the purchase log, supplier quotation/confirmation, owner, due date and payment status.</w:t>
      </w:r>
    </w:p>
    <w:p>
      <w:pPr>
        <w:numPr>
          <w:ilvl w:val="0"/>
          <w:numId w:val="13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Control material changes. </w:t>
      </w:r>
      <w:r>
        <w:rPr>
          <w:rFonts w:ascii="Arial" w:hAnsi="Arial" w:eastAsia="Arial"/>
          <w:color w:val="151020"/>
          <w:sz w:val="22"/>
        </w:rPr>
        <w:t>Movement above 10% between major categories requires written approval from the program lead and funder contact.</w:t>
      </w:r>
    </w:p>
    <w:p>
      <w:pPr>
        <w:numPr>
          <w:ilvl w:val="0"/>
          <w:numId w:val="13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Reconcile and report. </w:t>
      </w:r>
      <w:r>
        <w:rPr>
          <w:rFonts w:ascii="Arial" w:hAnsi="Arial" w:eastAsia="Arial"/>
          <w:color w:val="151020"/>
          <w:sz w:val="22"/>
        </w:rPr>
        <w:t>Receipts, invoices, actual-versus-plan variance and unused funds are reported within seven days after the event.</w:t>
      </w:r>
    </w:p>
    <w:p>
      <w:pPr>
        <w:pStyle w:val="Heading2"/>
      </w:pPr>
      <w:r>
        <w:t>Approval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0"/>
        <w:gridCol w:w="2160"/>
        <w:gridCol w:w="3720"/>
      </w:tblGrid>
      <w:tr>
        <w:trPr>
          <w:tblHeader w:val="true"/>
        </w:trPr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34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Supplier selection and logistics</w:t>
            </w:r>
          </w:p>
        </w:tc>
        <w:tc>
          <w:tcPr>
            <w:tcW w:type="dxa" w:w="21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Danh</w:t>
            </w:r>
          </w:p>
        </w:tc>
        <w:tc>
          <w:tcPr>
            <w:tcW w:type="dxa" w:w="37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Quotation or written price confirmation</w:t>
            </w:r>
          </w:p>
        </w:tc>
      </w:tr>
      <w:tr>
        <w:trPr>
          <w:cantSplit/>
        </w:trPr>
        <w:tc>
          <w:tcPr>
            <w:tcW w:type="dxa" w:w="34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Program-scope and participant decisions</w:t>
            </w:r>
          </w:p>
        </w:tc>
        <w:tc>
          <w:tcPr>
            <w:tcW w:type="dxa" w:w="21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Hieu</w:t>
            </w:r>
          </w:p>
        </w:tc>
        <w:tc>
          <w:tcPr>
            <w:tcW w:type="dxa" w:w="37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plan and participant records</w:t>
            </w:r>
          </w:p>
        </w:tc>
      </w:tr>
      <w:tr>
        <w:trPr>
          <w:cantSplit/>
        </w:trPr>
        <w:tc>
          <w:tcPr>
            <w:tcW w:type="dxa" w:w="34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Material category variance</w:t>
            </w:r>
          </w:p>
        </w:tc>
        <w:tc>
          <w:tcPr>
            <w:tcW w:type="dxa" w:w="21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Hieu + funder contact</w:t>
            </w:r>
          </w:p>
        </w:tc>
        <w:tc>
          <w:tcPr>
            <w:tcW w:type="dxa" w:w="37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Written approval</w:t>
            </w:r>
          </w:p>
        </w:tc>
      </w:tr>
      <w:tr>
        <w:trPr>
          <w:cantSplit/>
        </w:trPr>
        <w:tc>
          <w:tcPr>
            <w:tcW w:type="dxa" w:w="34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Payment and expense record</w:t>
            </w:r>
          </w:p>
        </w:tc>
        <w:tc>
          <w:tcPr>
            <w:tcW w:type="dxa" w:w="21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Danh</w:t>
            </w:r>
          </w:p>
        </w:tc>
        <w:tc>
          <w:tcPr>
            <w:tcW w:type="dxa" w:w="37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Invoice, receipt or approved exception note</w:t>
            </w:r>
          </w:p>
        </w:tc>
      </w:tr>
      <w:tr>
        <w:trPr>
          <w:cantSplit/>
        </w:trPr>
        <w:tc>
          <w:tcPr>
            <w:tcW w:type="dxa" w:w="34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Final reconciliation</w:t>
            </w:r>
          </w:p>
        </w:tc>
        <w:tc>
          <w:tcPr>
            <w:tcW w:type="dxa" w:w="21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Hieu</w:t>
            </w:r>
          </w:p>
        </w:tc>
        <w:tc>
          <w:tcPr>
            <w:tcW w:type="dxa" w:w="37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Actual-versus-budget statement and report</w:t>
            </w:r>
          </w:p>
        </w:tc>
      </w:tr>
    </w:tbl>
    <w:p>
      <w:pPr>
        <w:pStyle w:val="Heading2"/>
      </w:pPr>
      <w:r>
        <w:t>Contingency use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Attendance or dietary changes that affect catering quantities.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Internet, display or power backup not included by the final venue.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Last-mile transport, safety or operational requirements discovered during the site check.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Unavoidable supplier variation; contingency is not a discretionary prize or marketing pool.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08 / MEASUREMENT</w:t>
      </w:r>
    </w:p>
    <w:p>
      <w:pPr>
        <w:pStyle w:val="Heading1"/>
      </w:pPr>
      <w:r>
        <w:t>Report outcomes that reflect building and continuation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Attendance matters, but the primary evidence is what teams create, how they iterate and whether they continue into the subtrack effort. A concise program and financial report will be delivered within seven days.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60"/>
        <w:gridCol w:w="2520"/>
        <w:gridCol w:w="4080"/>
      </w:tblGrid>
      <w:tr>
        <w:trPr>
          <w:tblHeader w:val="true"/>
        </w:trPr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Builder participation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70 participants</w:t>
            </w:r>
          </w:p>
        </w:tc>
        <w:tc>
          <w:tcPr>
            <w:tcW w:type="dxa" w:w="40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Registration and check-in</w:t>
            </w:r>
          </w:p>
        </w:tc>
      </w:tr>
      <w:tr>
        <w:trPr>
          <w:cantSplit/>
        </w:trPr>
        <w:tc>
          <w:tcPr>
            <w:tcW w:type="dxa" w:w="27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Active teams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11–12 teams</w:t>
            </w:r>
          </w:p>
        </w:tc>
        <w:tc>
          <w:tcPr>
            <w:tcW w:type="dxa" w:w="40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Website team workspaces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Sunday submissions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11–12 projects</w:t>
            </w:r>
          </w:p>
        </w:tc>
        <w:tc>
          <w:tcPr>
            <w:tcW w:type="dxa" w:w="40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Timestamped website submissions</w:t>
            </w:r>
          </w:p>
        </w:tc>
      </w:tr>
      <w:tr>
        <w:trPr>
          <w:cantSplit/>
        </w:trPr>
        <w:tc>
          <w:tcPr>
            <w:tcW w:type="dxa" w:w="27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Meaningful iteration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80% publish 2+ checkpoints</w:t>
            </w:r>
          </w:p>
        </w:tc>
        <w:tc>
          <w:tcPr>
            <w:tcW w:type="dxa" w:w="40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Project histories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Subtrack continuation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At least 8 teams</w:t>
            </w:r>
          </w:p>
        </w:tc>
        <w:tc>
          <w:tcPr>
            <w:tcW w:type="dxa" w:w="40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Post-event project updates</w:t>
            </w:r>
          </w:p>
        </w:tc>
      </w:tr>
      <w:tr>
        <w:trPr>
          <w:cantSplit/>
        </w:trPr>
        <w:tc>
          <w:tcPr>
            <w:tcW w:type="dxa" w:w="27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Delivery quality</w:t>
            </w:r>
          </w:p>
        </w:tc>
        <w:tc>
          <w:tcPr>
            <w:tcW w:type="dxa" w:w="25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closes on schedule with no major incident</w:t>
            </w:r>
          </w:p>
        </w:tc>
        <w:tc>
          <w:tcPr>
            <w:tcW w:type="dxa" w:w="40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Run-of-show and incident log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Financial accountability</w:t>
            </w:r>
          </w:p>
        </w:tc>
        <w:tc>
          <w:tcPr>
            <w:tcW w:type="dxa" w:w="25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100% of material spend reconciled</w:t>
            </w:r>
          </w:p>
        </w:tc>
        <w:tc>
          <w:tcPr>
            <w:tcW w:type="dxa" w:w="40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Receipts and variance report</w:t>
            </w:r>
          </w:p>
        </w:tc>
      </w:tr>
    </w:tbl>
    <w:p>
      <w:pPr>
        <w:pStyle w:val="Heading2"/>
      </w:pPr>
      <w:r>
        <w:t>Post-event report contents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Attendance, team, submission and checkpoint totals.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Project directory with links and concise descriptions.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Continuation status and next milestones for each team.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Approved media and partner-recognition record.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Actual-versus-budget statement with material variance explanations.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Operational lessons and recommendations for a future cohort.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SUPERTEAM VIETNAM FUNDING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09 / RISKS AND DECISION</w:t>
      </w:r>
    </w:p>
    <w:p>
      <w:pPr>
        <w:pStyle w:val="Heading1"/>
      </w:pPr>
      <w:r>
        <w:t>The delivery risks are known and manageable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main risks are preparation, infrastructure, attendance and cost variance. Each has a specific owner and mitigation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5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Mitigation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Teams arrive unprepared</w:t>
            </w:r>
          </w:p>
        </w:tc>
        <w:tc>
          <w:tcPr>
            <w:tcW w:type="dxa" w:w="5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Online readiness gate by 17 September; targeted remote support before Friday</w:t>
            </w:r>
          </w:p>
        </w:tc>
        <w:tc>
          <w:tcPr>
            <w:tcW w:type="dxa" w:w="15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Program</w:t>
            </w:r>
          </w:p>
        </w:tc>
      </w:tr>
      <w:tr>
        <w:trPr>
          <w:cantSplit/>
        </w:trPr>
        <w:tc>
          <w:tcPr>
            <w:tcW w:type="dxa" w:w="21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Venue not confirmed</w:t>
            </w:r>
          </w:p>
        </w:tc>
        <w:tc>
          <w:tcPr>
            <w:tcW w:type="dxa" w:w="57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Parallel venue outreach, site checklist and decision deadline</w:t>
            </w:r>
          </w:p>
        </w:tc>
        <w:tc>
          <w:tcPr>
            <w:tcW w:type="dxa" w:w="15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Hieu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Internet instability</w:t>
            </w:r>
          </w:p>
        </w:tc>
        <w:tc>
          <w:tcPr>
            <w:tcW w:type="dxa" w:w="5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Load test, venue technical contact and budgeted backup</w:t>
            </w:r>
          </w:p>
        </w:tc>
        <w:tc>
          <w:tcPr>
            <w:tcW w:type="dxa" w:w="15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Ops + venue</w:t>
            </w:r>
          </w:p>
        </w:tc>
      </w:tr>
      <w:tr>
        <w:trPr>
          <w:cantSplit/>
        </w:trPr>
        <w:tc>
          <w:tcPr>
            <w:tcW w:type="dxa" w:w="21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Lower Sunday attendance</w:t>
            </w:r>
          </w:p>
        </w:tc>
        <w:tc>
          <w:tcPr>
            <w:tcW w:type="dxa" w:w="57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Slots confirmed Saturday; submission deadline tied to demo; close before lunch</w:t>
            </w:r>
          </w:p>
        </w:tc>
        <w:tc>
          <w:tcPr>
            <w:tcW w:type="dxa" w:w="15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Danh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Demo tracks interfere</w:t>
            </w:r>
          </w:p>
        </w:tc>
        <w:tc>
          <w:tcPr>
            <w:tcW w:type="dxa" w:w="5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Two rooms or acoustically separated zones with independent displays</w:t>
            </w:r>
          </w:p>
        </w:tc>
        <w:tc>
          <w:tcPr>
            <w:tcW w:type="dxa" w:w="15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Venue</w:t>
            </w:r>
          </w:p>
        </w:tc>
      </w:tr>
      <w:tr>
        <w:trPr>
          <w:cantSplit/>
        </w:trPr>
        <w:tc>
          <w:tcPr>
            <w:tcW w:type="dxa" w:w="21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Catering variance</w:t>
            </w:r>
          </w:p>
        </w:tc>
        <w:tc>
          <w:tcPr>
            <w:tcW w:type="dxa" w:w="57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Headcount lock, dietary list and controlled buffer</w:t>
            </w:r>
          </w:p>
        </w:tc>
        <w:tc>
          <w:tcPr>
            <w:tcW w:type="dxa" w:w="15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Danh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No local prize reduces urgency</w:t>
            </w:r>
          </w:p>
        </w:tc>
        <w:tc>
          <w:tcPr>
            <w:tcW w:type="dxa" w:w="5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Public checkpoints, mentor access and clear subtrack continuation value</w:t>
            </w:r>
          </w:p>
        </w:tc>
        <w:tc>
          <w:tcPr>
            <w:tcW w:type="dxa" w:w="15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6"/>
              </w:rPr>
              <w:t>Program</w:t>
            </w:r>
          </w:p>
        </w:tc>
      </w:tr>
    </w:tbl>
    <w:p>
      <w:pPr>
        <w:pStyle w:val="Heading2"/>
      </w:pPr>
      <w:r>
        <w:t>Requested decisions</w:t>
      </w:r>
    </w:p>
    <w:p>
      <w:pPr>
        <w:numPr>
          <w:ilvl w:val="0"/>
          <w:numId w:val="14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Confirm program alignment. </w:t>
      </w:r>
      <w:r>
        <w:rPr>
          <w:rFonts w:ascii="Arial" w:hAnsi="Arial" w:eastAsia="Arial"/>
          <w:color w:val="151020"/>
          <w:sz w:val="22"/>
        </w:rPr>
        <w:t>Approve the event as part of the Superteam Vietnam Colosseum subtrack effort and confirm the public wording.</w:t>
      </w:r>
    </w:p>
    <w:p>
      <w:pPr>
        <w:numPr>
          <w:ilvl w:val="0"/>
          <w:numId w:val="14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Approve VND 60 million. </w:t>
      </w:r>
      <w:r>
        <w:rPr>
          <w:rFonts w:ascii="Arial" w:hAnsi="Arial" w:eastAsia="Arial"/>
          <w:color w:val="151020"/>
          <w:sz w:val="22"/>
        </w:rPr>
        <w:t>Authorize the catering and operations envelope and the agreed transfer process.</w:t>
      </w:r>
    </w:p>
    <w:p>
      <w:pPr>
        <w:numPr>
          <w:ilvl w:val="0"/>
          <w:numId w:val="14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Confirm reporting contact. </w:t>
      </w:r>
      <w:r>
        <w:rPr>
          <w:rFonts w:ascii="Arial" w:hAnsi="Arial" w:eastAsia="Arial"/>
          <w:color w:val="151020"/>
          <w:sz w:val="22"/>
        </w:rPr>
        <w:t>Name the person who approves material variances and receives the final report.</w:t>
      </w:r>
    </w:p>
    <w:p>
      <w:pPr>
        <w:numPr>
          <w:ilvl w:val="0"/>
          <w:numId w:val="14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Confirm subtrack pathway. </w:t>
      </w:r>
      <w:r>
        <w:rPr>
          <w:rFonts w:ascii="Arial" w:hAnsi="Arial" w:eastAsia="Arial"/>
          <w:color w:val="151020"/>
          <w:sz w:val="22"/>
        </w:rPr>
        <w:t>Validate eligibility, prize-language and direct next steps for participating projects.</w:t>
      </w:r>
    </w:p>
    <w:p>
      <w:pPr>
        <w:numPr>
          <w:ilvl w:val="0"/>
          <w:numId w:val="14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Release program launch. </w:t>
      </w:r>
      <w:r>
        <w:rPr>
          <w:rFonts w:ascii="Arial" w:hAnsi="Arial" w:eastAsia="Arial"/>
          <w:color w:val="151020"/>
          <w:sz w:val="22"/>
        </w:rPr>
        <w:t>Allow materials and registration communication to go live from 4 September 2026.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E"/>
            <w:tcBorders>
              <w:top w:val="nil"/>
              <w:bottom w:val="nil"/>
              <w:start w:val="single" w:sz="24" w:color="267A55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267A55"/>
                <w:sz w:val="18"/>
              </w:rPr>
              <w:t xml:space="preserve">TIMING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Funding and program wording should be confirmed as soon as possible, ideally by 4 September, so suppliers and participant communication can proceed without compression.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pStyle w:val="Heading2"/>
      </w:pPr>
      <w:r>
        <w:t>Reference note</w:t>
      </w:r>
    </w:p>
    <w:p>
      <w:pPr>
        <w:pStyle w:val="SmallNote"/>
      </w:pPr>
      <w:r>
        <w:rPr>
          <w:rFonts w:ascii="Arial" w:hAnsi="Arial" w:eastAsia="Arial"/>
          <w:color w:val="625A6E"/>
          <w:sz w:val="18"/>
        </w:rPr>
        <w:t xml:space="preserve">Colosseum's published 2026 schedule lists the fall online hackathon as 28 September–2 November 2026: </w:t>
      </w:r>
      <w:hyperlink r:id="rId9">
        <w:r>
          <w:rPr>
            <w:rFonts w:ascii="Arial" w:hAnsi="Arial"/>
            <w:color w:val="6D45B8"/>
            <w:sz w:val="18"/>
            <w:u w:val="single"/>
          </w:rPr>
          <w:t>Colosseum Codex — 2026 Hackathons</w:t>
        </w:r>
      </w:hyperlink>
    </w:p>
    <w:p>
      <w:pPr>
        <w:spacing w:before="0" w:after="0" w:line="276" w:lineRule="auto"/>
      </w:pPr>
      <w:r>
        <w:rPr>
          <w:rFonts w:ascii="Arial" w:hAnsi="Arial" w:eastAsia="Arial"/>
          <w:b w:val="0"/>
          <w:i/>
          <w:color w:val="625A6E"/>
          <w:sz w:val="17"/>
        </w:rPr>
        <w:t>Superteam Vietnam subtrack eligibility, branding and prize terms remain governed by the applicable program rules and final ecosystem coordination.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  <w:spacing w:before="0"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  <w:spacing w:before="0" w:after="80" w:line="29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" w:hAnsi="Arial"/>
      <w:color w:val="151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6D45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6D45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229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before="0" w:after="0" w:line="269" w:lineRule="auto"/>
    </w:pPr>
    <w:rPr>
      <w:rFonts w:ascii="Arial" w:hAnsi="Arial"/>
      <w:color w:val="151020"/>
      <w:sz w:val="18"/>
    </w:rPr>
  </w:style>
  <w:style w:type="paragraph" w:customStyle="1" w:styleId="TableHeader">
    <w:name w:val="Table Header"/>
    <w:pPr>
      <w:spacing w:before="0" w:after="0" w:line="252" w:lineRule="auto"/>
    </w:pPr>
    <w:rPr>
      <w:rFonts w:ascii="Arial" w:hAnsi="Arial"/>
      <w:b/>
      <w:color w:val="FFFFFF"/>
      <w:sz w:val="17"/>
    </w:rPr>
  </w:style>
  <w:style w:type="paragraph" w:customStyle="1" w:styleId="SmallNote">
    <w:name w:val="Small Note"/>
    <w:pPr>
      <w:spacing w:before="80" w:after="80" w:line="276" w:lineRule="auto"/>
    </w:pPr>
    <w:rPr>
      <w:rFonts w:ascii="Arial" w:hAnsi="Arial"/>
      <w:color w:val="625A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log.colosseum.com/2026-hackathons-updraft-course-offline-signer-c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Onchain Time Builder Sprint — Superteam Vietnam Funding Proposal</dc:title>
  <dc:subject>Program funding and delivery proposal for a two-week online builder program and Da Nang build weekend</dc:subject>
  <dc:creator>Onchain Time Builder Sprint organizing team</dc:creator>
  <cp:keywords>Solana, Colosseum, Superteam Vietnam, Da Nang, builder sprint, program funding</cp:keywords>
  <dc:description>Prepared 31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