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20" w:lineRule="auto"/>
        <w:jc w:val="center"/>
      </w:pPr>
      <w:r>
        <w:rPr>
          <w:rFonts w:ascii="Courier New" w:hAnsi="Courier New" w:eastAsia="Courier New"/>
          <w:b/>
          <w:i w:val="0"/>
          <w:color w:val="6D45B8"/>
          <w:sz w:val="18"/>
        </w:rPr>
        <w:t>SUPERTEAM VIETNAM · COLOSSEUM BUILDER PROGRAM</w:t>
      </w:r>
    </w:p>
    <w:p>
      <w:pPr>
        <w:spacing w:before="0" w:after="160" w:line="230" w:lineRule="auto"/>
        <w:jc w:val="center"/>
      </w:pPr>
      <w:r>
        <w:rPr>
          <w:rFonts w:ascii="Arial" w:hAnsi="Arial" w:eastAsia="Arial"/>
          <w:b/>
          <w:i w:val="0"/>
          <w:color w:val="151020"/>
          <w:sz w:val="60"/>
        </w:rPr>
        <w:t>Onchain Time</w:t>
        <w:br/>
        <w:t>Builder Sprint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 w:val="0"/>
          <w:i w:val="0"/>
          <w:color w:val="6D45B8"/>
          <w:sz w:val="30"/>
        </w:rPr>
        <w:t>Venue In-Kind Partnership Proposal</w:t>
      </w:r>
    </w:p>
    <w:p>
      <w:pPr>
        <w:spacing w:before="0" w:after="400" w:line="264" w:lineRule="auto"/>
        <w:jc w:val="center"/>
      </w:pPr>
      <w:r>
        <w:rPr>
          <w:rFonts w:ascii="Arial" w:hAnsi="Arial" w:eastAsia="Arial"/>
          <w:b w:val="0"/>
          <w:i/>
          <w:color w:val="625A6E"/>
          <w:sz w:val="23"/>
        </w:rPr>
        <w:t>Learn online. Build together. Iterate toward Colosseum.</w:t>
      </w:r>
    </w:p>
    <w:p>
      <w:pPr>
        <w:spacing w:before="0" w:after="280" w:line="320" w:lineRule="auto"/>
        <w:pBdr>
          <w:bottom w:val="single" w:sz="18" w:space="8" w:color="6D45B8"/>
        </w:pBdr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PREPARED FOR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Prospective Venue Partner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PROGRAM OPENS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4 September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IN-PERSON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18–20 September 2026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LOCATION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Da Nang, Vietnam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PARTICIPANTS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70 builders · 11–12 teams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FORMAT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Friday night + 1.5 days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VENUE REQUEST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Space and facilities in kind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spacing w:after="40"/>
              <w:jc w:val="left"/>
            </w:pPr>
            <w:r>
              <w:rPr>
                <w:rFonts w:ascii="Courier New" w:hAnsi="Courier New" w:eastAsia="Courier New"/>
                <w:b/>
                <w:color w:val="6D45B8"/>
                <w:sz w:val="16"/>
              </w:rPr>
              <w:t>CASH REQUEST</w:t>
              <w:br/>
            </w:r>
            <w:r>
              <w:rPr>
                <w:rFonts w:ascii="Arial" w:hAnsi="Arial" w:eastAsia="Arial"/>
                <w:b/>
                <w:color w:val="151020"/>
                <w:sz w:val="20"/>
              </w:rPr>
              <w:t>None</w:t>
            </w:r>
          </w:p>
        </w:tc>
      </w:tr>
    </w:tbl>
    <w:p>
      <w:pPr>
        <w:spacing w:before="0" w:after="20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5EE"/>
            <w:tcBorders>
              <w:top w:val="nil"/>
              <w:bottom w:val="nil"/>
              <w:start w:val="single" w:sz="24" w:color="267A55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267A55"/>
                <w:sz w:val="18"/>
              </w:rPr>
              <w:t xml:space="preserve">PARTNERSHIP REQUEST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Provide a safe, accessible and builder-ready venue at no charge for Friday evening, Saturday daytime and Sunday morning. Superteam Vietnam funds the program's catering and operations; no cash sponsorship is requested from the venue partner.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spacing w:before="0" w:after="0" w:line="264" w:lineRule="auto"/>
        <w:jc w:val="center"/>
      </w:pPr>
      <w:r>
        <w:rPr>
          <w:rFonts w:ascii="Arial" w:hAnsi="Arial" w:eastAsia="Arial"/>
          <w:b w:val="0"/>
          <w:i w:val="0"/>
          <w:color w:val="625A6E"/>
          <w:sz w:val="18"/>
        </w:rPr>
        <w:t>Prepared by Hieu and the organizing team · 31 August 2026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VENUE IN-KIND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01 / THE OPPORTUNITY</w:t>
      </w:r>
    </w:p>
    <w:p>
      <w:pPr>
        <w:pStyle w:val="Heading1"/>
      </w:pPr>
      <w:r>
        <w:t>Become the physical home of a focused builder program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Onchain Time Builder Sprint is a two-week online learning and product-iteration program culminating in a compact in-person weekend in Da Nang. It is part of Superteam Vietnam's Colosseum subtrack effort and is designed for building, feedback and continuation—not a local prize ceremony.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E9F8"/>
            <w:tcBorders>
              <w:top w:val="nil"/>
              <w:bottom w:val="nil"/>
              <w:start w:val="single" w:sz="24" w:color="6D45B8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6D45B8"/>
                <w:sz w:val="18"/>
              </w:rPr>
              <w:t xml:space="preserve">DECISION REQUESTED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Confirm an in-kind venue partnership for up to 80 people, with access from 18–20 September 2026 and the facilities described in this proposal.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pStyle w:val="Heading2"/>
      </w:pPr>
      <w:r>
        <w:t>Program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Online preparation</w:t>
            </w:r>
          </w:p>
        </w:tc>
        <w:tc>
          <w:tcPr>
            <w:tcW w:type="dxa" w:w="6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All learning material and build guidance available from 4 September; teams form, define users and begin project pages online.</w:t>
            </w:r>
          </w:p>
        </w:tc>
      </w:tr>
      <w:tr>
        <w:trPr>
          <w:cantSplit/>
        </w:trPr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In-person acceleration</w:t>
            </w:r>
          </w:p>
        </w:tc>
        <w:tc>
          <w:tcPr>
            <w:tcW w:type="dxa" w:w="6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Friday kickoff, a focused Saturday build day and a Sunday morning demo-and-feedback session.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Website workflow</w:t>
            </w:r>
          </w:p>
        </w:tc>
        <w:tc>
          <w:tcPr>
            <w:tcW w:type="dxa" w:w="6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Learning, team workspaces, checkpoints, feedback and final submission all live on the program website.</w:t>
            </w:r>
          </w:p>
        </w:tc>
      </w:tr>
      <w:tr>
        <w:trPr>
          <w:cantSplit/>
        </w:trPr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Output</w:t>
            </w:r>
          </w:p>
        </w:tc>
        <w:tc>
          <w:tcPr>
            <w:tcW w:type="dxa" w:w="6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11–12 working project submissions, each with a defined user, functioning product journey and continuation plan.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Incentive model</w:t>
            </w:r>
          </w:p>
        </w:tc>
        <w:tc>
          <w:tcPr>
            <w:tcW w:type="dxa" w:w="6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8"/>
              </w:rPr>
              <w:t>No local prize. Teams build toward the Superteam Vietnam Colosseum subtrack, with a stated total prize pool of US$10,000.</w:t>
            </w:r>
          </w:p>
        </w:tc>
      </w:tr>
    </w:tbl>
    <w:p>
      <w:pPr>
        <w:pStyle w:val="Heading2"/>
      </w:pPr>
      <w:r>
        <w:t>Why this format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Preparation happens before the room. </w:t>
      </w:r>
      <w:r>
        <w:rPr>
          <w:rFonts w:ascii="Arial" w:hAnsi="Arial" w:eastAsia="Arial"/>
          <w:color w:val="151020"/>
          <w:sz w:val="22"/>
        </w:rPr>
        <w:t>The website carries the learning load, so venue time is used for building, testing and mentor feedback.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The weekend is deliberately compact. </w:t>
      </w:r>
      <w:r>
        <w:rPr>
          <w:rFonts w:ascii="Arial" w:hAnsi="Arial" w:eastAsia="Arial"/>
          <w:color w:val="151020"/>
          <w:sz w:val="22"/>
        </w:rPr>
        <w:t>Saturday ends at 17:00 without dinner; Sunday closes at 11:30 without lunch.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Iteration leads to continuation. </w:t>
      </w:r>
      <w:r>
        <w:rPr>
          <w:rFonts w:ascii="Arial" w:hAnsi="Arial" w:eastAsia="Arial"/>
          <w:color w:val="151020"/>
          <w:sz w:val="22"/>
        </w:rPr>
        <w:t>Teams are recognized for progress—not ranked locally—and their project histories remain online through the Colosseum cycle.</w:t>
      </w:r>
    </w:p>
    <w:p>
      <w:pPr>
        <w:pStyle w:val="Heading2"/>
      </w:pPr>
      <w:r>
        <w:t>What the venue is—and is not—being asked to provide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Requested from venue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Covered by organizers / Superteam Vietnam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Space, utilities, agreed furniture and included AV</w:t>
            </w:r>
          </w:p>
        </w:tc>
        <w:tc>
          <w:tcPr>
            <w:tcW w:type="dxa" w:w="46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Catering, event staffing and participant operations</w:t>
            </w:r>
          </w:p>
        </w:tc>
      </w:tr>
      <w:tr>
        <w:trPr>
          <w:cantSplit/>
        </w:trPr>
        <w:tc>
          <w:tcPr>
            <w:tcW w:type="dxa" w:w="46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Weekend access, security, cleaning and venue contact</w:t>
            </w:r>
          </w:p>
        </w:tc>
        <w:tc>
          <w:tcPr>
            <w:tcW w:type="dxa" w:w="46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Mentors, registration, website and project submission workflow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Internet and power suitable for the agreed capacity</w:t>
            </w:r>
          </w:p>
        </w:tc>
        <w:tc>
          <w:tcPr>
            <w:tcW w:type="dxa" w:w="468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Event supplies, documentation and approved photography</w:t>
            </w:r>
          </w:p>
        </w:tc>
      </w:tr>
      <w:tr>
        <w:trPr>
          <w:cantSplit/>
        </w:trPr>
        <w:tc>
          <w:tcPr>
            <w:tcW w:type="dxa" w:w="46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Two separated Sunday demo zones</w:t>
            </w:r>
          </w:p>
        </w:tc>
        <w:tc>
          <w:tcPr>
            <w:tcW w:type="dxa" w:w="468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 content, timekeeping, feedback and post-event reporting</w:t>
            </w:r>
          </w:p>
        </w:tc>
      </w:tr>
    </w:tbl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VENUE IN-KIND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02 / ACCESS AND SCHEDULE</w:t>
      </w:r>
    </w:p>
    <w:p>
      <w:pPr>
        <w:pStyle w:val="Heading1"/>
      </w:pPr>
      <w:r>
        <w:t>A bounded request across three calendar days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program uses Friday evening for kickoff, Saturday for concentrated building and Sunday morning for direct website submission and two parallel demo tracks. There are no overnight activities.</w:t>
      </w:r>
    </w:p>
    <w:p>
      <w:pPr>
        <w:pStyle w:val="Heading2"/>
      </w:pPr>
      <w:r>
        <w:t>Requested venue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Requested access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Participant program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Fri, 18 Sep</w:t>
            </w:r>
          </w:p>
        </w:tc>
        <w:tc>
          <w:tcPr>
            <w:tcW w:type="dxa" w:w="1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center"/>
            </w:pPr>
            <w:r>
              <w:rPr>
                <w:rFonts w:ascii="Arial" w:hAnsi="Arial" w:eastAsia="Arial"/>
                <w:color w:val="151020"/>
                <w:sz w:val="17"/>
              </w:rPr>
              <w:t>16:30–21:30</w:t>
            </w:r>
          </w:p>
        </w:tc>
        <w:tc>
          <w:tcPr>
            <w:tcW w:type="dxa" w:w="1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center"/>
            </w:pPr>
            <w:r>
              <w:rPr>
                <w:rFonts w:ascii="Arial" w:hAnsi="Arial" w:eastAsia="Arial"/>
                <w:color w:val="151020"/>
                <w:sz w:val="17"/>
              </w:rPr>
              <w:t>17:30–21:00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Setup, registration, kickoff and pack-down</w:t>
            </w:r>
          </w:p>
        </w:tc>
      </w:tr>
      <w:tr>
        <w:trPr>
          <w:cantSplit/>
        </w:trPr>
        <w:tc>
          <w:tcPr>
            <w:tcW w:type="dxa" w:w="1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Sat, 19 Sep</w:t>
            </w:r>
          </w:p>
        </w:tc>
        <w:tc>
          <w:tcPr>
            <w:tcW w:type="dxa" w:w="1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center"/>
            </w:pPr>
            <w:r>
              <w:rPr>
                <w:rFonts w:ascii="Arial" w:hAnsi="Arial" w:eastAsia="Arial"/>
                <w:color w:val="151020"/>
                <w:sz w:val="17"/>
              </w:rPr>
              <w:t>08:00–17:30</w:t>
            </w:r>
          </w:p>
        </w:tc>
        <w:tc>
          <w:tcPr>
            <w:tcW w:type="dxa" w:w="1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center"/>
            </w:pPr>
            <w:r>
              <w:rPr>
                <w:rFonts w:ascii="Arial" w:hAnsi="Arial" w:eastAsia="Arial"/>
                <w:color w:val="151020"/>
                <w:sz w:val="17"/>
              </w:rPr>
              <w:t>09:00–17:00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Setup, full build day and close; no dinner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Sun, 20 Sep</w:t>
            </w:r>
          </w:p>
        </w:tc>
        <w:tc>
          <w:tcPr>
            <w:tcW w:type="dxa" w:w="1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center"/>
            </w:pPr>
            <w:r>
              <w:rPr>
                <w:rFonts w:ascii="Arial" w:hAnsi="Arial" w:eastAsia="Arial"/>
                <w:color w:val="151020"/>
                <w:sz w:val="17"/>
              </w:rPr>
              <w:t>08:00–12:00</w:t>
            </w:r>
          </w:p>
        </w:tc>
        <w:tc>
          <w:tcPr>
            <w:tcW w:type="dxa" w:w="1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center"/>
            </w:pPr>
            <w:r>
              <w:rPr>
                <w:rFonts w:ascii="Arial" w:hAnsi="Arial" w:eastAsia="Arial"/>
                <w:color w:val="151020"/>
                <w:sz w:val="17"/>
              </w:rPr>
              <w:t>08:30–11:30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Breakfast, submissions, demos and close; no lunch</w:t>
            </w:r>
          </w:p>
        </w:tc>
      </w:tr>
    </w:tbl>
    <w:p>
      <w:pPr>
        <w:pStyle w:val="Heading2"/>
      </w:pPr>
      <w:r>
        <w:t>Friday, 18 September · kickoff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17:30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Registration and light dinner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Teams checked in and settled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18:15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Welcome, program purpose and partner acknowledgement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Shared expectations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18:35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Build prompt, safeguards and website workflow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Submission requirements understood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19:00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Team plan review and mentor office hours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Saturday priorities locked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20:30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Checkpoint published on website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Visible starting point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21:00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Participant close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No overnight program</w:t>
            </w:r>
          </w:p>
        </w:tc>
      </w:tr>
    </w:tbl>
    <w:p>
      <w:pPr>
        <w:pStyle w:val="Heading2"/>
      </w:pPr>
      <w:r>
        <w:t>Saturday, 19 September · build and iterate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09:00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Stand-up and technical readiness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Blockers surfaced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09:20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Focused build block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Core journey implemented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11:45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Checkpoint review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Evidence and next changes recorded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12:00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Lunch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On-site meal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13:00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Build, user testing and mentor rotations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Product iteration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15:15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 break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Short reset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15:35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Final Saturday build block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 path stabilized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16:35</w:t>
            </w:r>
          </w:p>
        </w:tc>
        <w:tc>
          <w:tcPr>
            <w:tcW w:type="dxa" w:w="48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Website checkpoint and Sunday briefing</w:t>
            </w:r>
          </w:p>
        </w:tc>
        <w:tc>
          <w:tcPr>
            <w:tcW w:type="dxa" w:w="30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Submission plan confirmed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17:00</w:t>
            </w:r>
          </w:p>
        </w:tc>
        <w:tc>
          <w:tcPr>
            <w:tcW w:type="dxa" w:w="48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Close</w:t>
            </w:r>
          </w:p>
        </w:tc>
        <w:tc>
          <w:tcPr>
            <w:tcW w:type="dxa" w:w="30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No Saturday dinner</w:t>
            </w:r>
          </w:p>
        </w:tc>
      </w:tr>
    </w:tbl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VENUE IN-KIND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03 / SPACE AND INFRASTRUCTURE</w:t>
      </w:r>
    </w:p>
    <w:p>
      <w:pPr>
        <w:pStyle w:val="Heading1"/>
      </w:pPr>
      <w:r>
        <w:t>What a builder-ready venue needs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ideal venue supports laptop-based team work, stable connectivity and a smooth Sunday transition into two simultaneous demo tracks.</w:t>
      </w:r>
    </w:p>
    <w:p>
      <w:pPr>
        <w:pStyle w:val="Heading2"/>
      </w:pPr>
      <w:r>
        <w:t>Required facilities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Capacity and layout. </w:t>
      </w:r>
      <w:r>
        <w:rPr>
          <w:rFonts w:ascii="Arial" w:hAnsi="Arial" w:eastAsia="Arial"/>
          <w:color w:val="151020"/>
          <w:sz w:val="22"/>
        </w:rPr>
        <w:t>Safe capacity for up to 80 people; team tables for laptop work; a central presentation zone; mentor corners; and catering/water space.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Internet. </w:t>
      </w:r>
      <w:r>
        <w:rPr>
          <w:rFonts w:ascii="Arial" w:hAnsi="Arial" w:eastAsia="Arial"/>
          <w:color w:val="151020"/>
          <w:sz w:val="22"/>
        </w:rPr>
        <w:t>Stable connectivity for approximately 100 simultaneous devices, a venue technical contact and permission for organizer-provided backup connectivity.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Power. </w:t>
      </w:r>
      <w:r>
        <w:rPr>
          <w:rFonts w:ascii="Arial" w:hAnsi="Arial" w:eastAsia="Arial"/>
          <w:color w:val="151020"/>
          <w:sz w:val="22"/>
        </w:rPr>
        <w:t>Sufficient safe outlets for every team, with clear rules for tested extension boards and cable covers.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Presentation. </w:t>
      </w:r>
      <w:r>
        <w:rPr>
          <w:rFonts w:ascii="Arial" w:hAnsi="Arial" w:eastAsia="Arial"/>
          <w:color w:val="151020"/>
          <w:sz w:val="22"/>
        </w:rPr>
        <w:t>One central screen or projector with microphone support, plus a display or projector for each Sunday demo track.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Sunday separation. </w:t>
      </w:r>
      <w:r>
        <w:rPr>
          <w:rFonts w:ascii="Arial" w:hAnsi="Arial" w:eastAsia="Arial"/>
          <w:color w:val="151020"/>
          <w:sz w:val="22"/>
        </w:rPr>
        <w:t>Two rooms or acoustically separated zones so both 15-minute demo tracks can operate simultaneously.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Operating environment. </w:t>
      </w:r>
      <w:r>
        <w:rPr>
          <w:rFonts w:ascii="Arial" w:hAnsi="Arial" w:eastAsia="Arial"/>
          <w:color w:val="151020"/>
          <w:sz w:val="22"/>
        </w:rPr>
        <w:t>Air conditioning, restrooms, drinking-water access, suitable lighting and accessibility information.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Safety and access. </w:t>
      </w:r>
      <w:r>
        <w:rPr>
          <w:rFonts w:ascii="Arial" w:hAnsi="Arial" w:eastAsia="Arial"/>
          <w:color w:val="151020"/>
          <w:sz w:val="22"/>
        </w:rPr>
        <w:t>Security, cleaning, entry procedures, emergency contacts, capacity limits and weekend opening/closing responsibility.</w:t>
      </w:r>
    </w:p>
    <w:p>
      <w:pPr>
        <w:pStyle w:val="Heading2"/>
      </w:pPr>
      <w:r>
        <w:t>Preferred room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720"/>
        <w:gridCol w:w="32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Zone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Use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Key requirement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Team floor</w:t>
            </w:r>
          </w:p>
        </w:tc>
        <w:tc>
          <w:tcPr>
            <w:tcW w:type="dxa" w:w="37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11–12 team tables plus circulation</w:t>
            </w:r>
          </w:p>
        </w:tc>
        <w:tc>
          <w:tcPr>
            <w:tcW w:type="dxa" w:w="324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Power at every table and reliable Wi-Fi</w:t>
            </w:r>
          </w:p>
        </w:tc>
      </w:tr>
      <w:tr>
        <w:trPr>
          <w:cantSplit/>
        </w:trPr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Central zone</w:t>
            </w:r>
          </w:p>
        </w:tc>
        <w:tc>
          <w:tcPr>
            <w:tcW w:type="dxa" w:w="37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Welcome, briefings and Saturday checkpoints</w:t>
            </w:r>
          </w:p>
        </w:tc>
        <w:tc>
          <w:tcPr>
            <w:tcW w:type="dxa" w:w="324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Main display, microphone and visible clock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 track A</w:t>
            </w:r>
          </w:p>
        </w:tc>
        <w:tc>
          <w:tcPr>
            <w:tcW w:type="dxa" w:w="37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Six Sunday team demos</w:t>
            </w:r>
          </w:p>
        </w:tc>
        <w:tc>
          <w:tcPr>
            <w:tcW w:type="dxa" w:w="324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Display, sound control and 20–30 audience seats</w:t>
            </w:r>
          </w:p>
        </w:tc>
      </w:tr>
      <w:tr>
        <w:trPr>
          <w:cantSplit/>
        </w:trPr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 track B</w:t>
            </w:r>
          </w:p>
        </w:tc>
        <w:tc>
          <w:tcPr>
            <w:tcW w:type="dxa" w:w="37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Six Sunday team demos</w:t>
            </w:r>
          </w:p>
        </w:tc>
        <w:tc>
          <w:tcPr>
            <w:tcW w:type="dxa" w:w="324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Separate display and acoustic separation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Mentor corners</w:t>
            </w:r>
          </w:p>
        </w:tc>
        <w:tc>
          <w:tcPr>
            <w:tcW w:type="dxa" w:w="372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Small-group product and technical support</w:t>
            </w:r>
          </w:p>
        </w:tc>
        <w:tc>
          <w:tcPr>
            <w:tcW w:type="dxa" w:w="324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Two quieter conversation points</w:t>
            </w:r>
          </w:p>
        </w:tc>
      </w:tr>
      <w:tr>
        <w:trPr>
          <w:cantSplit/>
        </w:trPr>
        <w:tc>
          <w:tcPr>
            <w:tcW w:type="dxa" w:w="24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Service zone</w:t>
            </w:r>
          </w:p>
        </w:tc>
        <w:tc>
          <w:tcPr>
            <w:tcW w:type="dxa" w:w="372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Registration, food, water and supplies</w:t>
            </w:r>
          </w:p>
        </w:tc>
        <w:tc>
          <w:tcPr>
            <w:tcW w:type="dxa" w:w="324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Delivery access without blocking team work</w:t>
            </w:r>
          </w:p>
        </w:tc>
      </w:tr>
    </w:tbl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VENUE IN-KIND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04 / SUNDAY DEMOS</w:t>
      </w:r>
    </w:p>
    <w:p>
      <w:pPr>
        <w:pStyle w:val="Heading1"/>
      </w:pPr>
      <w:r>
        <w:t>Two parallel tracks are enough for the expected teams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With 11–12 teams and two hours available, two tracks preserve meaningful product and feedback time while allowing the venue to close before lunch.</w:t>
      </w:r>
    </w:p>
    <w:p>
      <w:pPr>
        <w:pStyle w:val="Heading2"/>
      </w:pPr>
      <w:r>
        <w:t>Sunday, 20 September · 08:30–11:30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08:30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Coffee, light breakfast and final fixes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Demo-ready project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09:15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Direct website submission deadline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Stable project page and QR code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09:20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Demo briefing and track assignment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Teams and audiences positioned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09:25–10:55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Six rounds across two parallel demo tracks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Capacity for 12 complete demos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10:55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Feedback capture and transition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Next changes recorded online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11:05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Subtrack continuation plan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Owners, dates and pathway confirmed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11:20</w:t>
            </w:r>
          </w:p>
        </w:tc>
        <w:tc>
          <w:tcPr>
            <w:tcW w:type="dxa" w:w="39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Partner acknowledgement, photo and close</w:t>
            </w:r>
          </w:p>
        </w:tc>
        <w:tc>
          <w:tcPr>
            <w:tcW w:type="dxa" w:w="39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 closes before lunch</w:t>
            </w:r>
          </w:p>
        </w:tc>
      </w:tr>
      <w:tr>
        <w:trPr>
          <w:cantSplit/>
        </w:trPr>
        <w:tc>
          <w:tcPr>
            <w:tcW w:type="dxa" w:w="15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11:30</w:t>
            </w:r>
          </w:p>
        </w:tc>
        <w:tc>
          <w:tcPr>
            <w:tcW w:type="dxa" w:w="39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Participants depart</w:t>
            </w:r>
          </w:p>
        </w:tc>
        <w:tc>
          <w:tcPr>
            <w:tcW w:type="dxa" w:w="39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No Sunday lunch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5EE"/>
            <w:tcBorders>
              <w:top w:val="nil"/>
              <w:bottom w:val="nil"/>
              <w:start w:val="single" w:sz="24" w:color="267A55"/>
              <w:end w:val="nil"/>
            </w:tcBorders>
          </w:tcPr>
          <w:p>
            <w:pPr>
              <w:pStyle w:val="TableBody"/>
              <w:spacing w:before="40" w:after="40"/>
            </w:pPr>
            <w:r>
              <w:rPr>
                <w:rFonts w:ascii="Courier New" w:hAnsi="Courier New" w:eastAsia="Courier New"/>
                <w:b/>
                <w:color w:val="267A55"/>
                <w:sz w:val="18"/>
              </w:rPr>
              <w:t xml:space="preserve">DEMO CAPACITY  </w:t>
            </w:r>
            <w:r>
              <w:rPr>
                <w:rFonts w:ascii="Arial" w:hAnsi="Arial" w:eastAsia="Arial"/>
                <w:b w:val="0"/>
                <w:color w:val="151020"/>
                <w:sz w:val="20"/>
              </w:rPr>
              <w:t>2 tracks × 6 rounds = 12 team demos. Each 15-minute slot allows approximately 7 minutes for the product, 5 minutes for feedback and 3 minutes for transition.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Arial"/>
          <w:b w:val="0"/>
          <w:i w:val="0"/>
          <w:color w:val="151020"/>
          <w:sz w:val="2"/>
        </w:rPr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Two separated zones. </w:t>
      </w:r>
      <w:r>
        <w:rPr>
          <w:rFonts w:ascii="Arial" w:hAnsi="Arial" w:eastAsia="Arial"/>
          <w:color w:val="151020"/>
          <w:sz w:val="22"/>
        </w:rPr>
        <w:t>Each track needs a display, power, clear sound and one anchor mentor or facilitator.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Website-first evidence. </w:t>
      </w:r>
      <w:r>
        <w:rPr>
          <w:rFonts w:ascii="Arial" w:hAnsi="Arial" w:eastAsia="Arial"/>
          <w:color w:val="151020"/>
          <w:sz w:val="22"/>
        </w:rPr>
        <w:t>Every demo begins from the submitted project page and QR code.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No local ranking. </w:t>
      </w:r>
      <w:r>
        <w:rPr>
          <w:rFonts w:ascii="Arial" w:hAnsi="Arial" w:eastAsia="Arial"/>
          <w:color w:val="151020"/>
          <w:sz w:val="22"/>
        </w:rPr>
        <w:t>The close recognizes progress and readiness; the external subtrack governs its own eligibility and prizes.</w:t>
      </w:r>
    </w:p>
    <w:p>
      <w:pPr>
        <w:pStyle w:val="Heading2"/>
      </w:pPr>
      <w:r>
        <w:t>Sunday venue reset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Both demo displays, power and network connections tested before 08:30.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Track signs and team order posted before the 09:20 briefing.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No shared public-address audio between tracks during the six demo rounds.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Participant areas cleared by 11:30; organizer pack-down completed by 12:00.</w:t>
      </w:r>
    </w:p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VENUE IN-KIND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05 / PARTNER VALUE</w:t>
      </w:r>
    </w:p>
    <w:p>
      <w:pPr>
        <w:pStyle w:val="Heading1"/>
      </w:pPr>
      <w:r>
        <w:t>A visible role in Da Nang's builder pipeline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The venue partner becomes the physical home of a program connecting online learning, local technical talent and a continuation pathway into the Solana ecosystem.</w:t>
      </w:r>
    </w:p>
    <w:p>
      <w:pPr>
        <w:pStyle w:val="Heading2"/>
      </w:pPr>
      <w:r>
        <w:t>Venue partner benefits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Official recognition. </w:t>
      </w:r>
      <w:r>
        <w:rPr>
          <w:rFonts w:ascii="Arial" w:hAnsi="Arial" w:eastAsia="Arial"/>
          <w:color w:val="151020"/>
          <w:sz w:val="22"/>
        </w:rPr>
        <w:t>Named as Official Venue Partner on the event website, registration pages and participant communication.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On-site visibility. </w:t>
      </w:r>
      <w:r>
        <w:rPr>
          <w:rFonts w:ascii="Arial" w:hAnsi="Arial" w:eastAsia="Arial"/>
          <w:color w:val="151020"/>
          <w:sz w:val="22"/>
        </w:rPr>
        <w:t>Logo placement at registration, the central presentation area and both Sunday demo tracks, subject to brand guidelines.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Opening participation. </w:t>
      </w:r>
      <w:r>
        <w:rPr>
          <w:rFonts w:ascii="Arial" w:hAnsi="Arial" w:eastAsia="Arial"/>
          <w:color w:val="151020"/>
          <w:sz w:val="22"/>
        </w:rPr>
        <w:t>A short welcome during Friday kickoff and acknowledgement during Sunday's close.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Talent access. </w:t>
      </w:r>
      <w:r>
        <w:rPr>
          <w:rFonts w:ascii="Arial" w:hAnsi="Arial" w:eastAsia="Arial"/>
          <w:color w:val="151020"/>
          <w:sz w:val="22"/>
        </w:rPr>
        <w:t>Direct engagement with approximately 70 builders and visibility into 11–12 emerging project teams.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Content and media. </w:t>
      </w:r>
      <w:r>
        <w:rPr>
          <w:rFonts w:ascii="Arial" w:hAnsi="Arial" w:eastAsia="Arial"/>
          <w:color w:val="151020"/>
          <w:sz w:val="22"/>
        </w:rPr>
        <w:t>Access to approved event photographs, project links and a concise post-event impact report.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Community association. </w:t>
      </w:r>
      <w:r>
        <w:rPr>
          <w:rFonts w:ascii="Arial" w:hAnsi="Arial" w:eastAsia="Arial"/>
          <w:color w:val="151020"/>
          <w:sz w:val="22"/>
        </w:rPr>
        <w:t>Visible support for practical technology education and product-building activity in Da Nang.</w:t>
      </w:r>
    </w:p>
    <w:p>
      <w:pPr>
        <w:pStyle w:val="Heading2"/>
      </w:pPr>
      <w:r>
        <w:t>Recognition to confirm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42296F"/>
            <w:tcBorders>
              <w:top w:val="single" w:sz="4" w:color="42296F"/>
              <w:bottom w:val="single" w:sz="4" w:color="42296F"/>
              <w:start w:val="single" w:sz="4" w:color="42296F"/>
              <w:end w:val="single" w:sz="4" w:color="42296F"/>
            </w:tcBorders>
          </w:tcPr>
          <w:p>
            <w:pPr>
              <w:pStyle w:val="TableHeader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Proposed recognition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Website</w:t>
            </w:r>
          </w:p>
        </w:tc>
        <w:tc>
          <w:tcPr>
            <w:tcW w:type="dxa" w:w="66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Official Venue Partner name, logo and link</w:t>
            </w:r>
          </w:p>
        </w:tc>
      </w:tr>
      <w:tr>
        <w:trPr>
          <w:cantSplit/>
        </w:trPr>
        <w:tc>
          <w:tcPr>
            <w:tcW w:type="dxa" w:w="27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Registration and email</w:t>
            </w:r>
          </w:p>
        </w:tc>
        <w:tc>
          <w:tcPr>
            <w:tcW w:type="dxa" w:w="66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Partner acknowledgement in participant communications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On site</w:t>
            </w:r>
          </w:p>
        </w:tc>
        <w:tc>
          <w:tcPr>
            <w:tcW w:type="dxa" w:w="66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Entrance, main stage and demo-track logo placement</w:t>
            </w:r>
          </w:p>
        </w:tc>
      </w:tr>
      <w:tr>
        <w:trPr>
          <w:cantSplit/>
        </w:trPr>
        <w:tc>
          <w:tcPr>
            <w:tcW w:type="dxa" w:w="270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Program moments</w:t>
            </w:r>
          </w:p>
        </w:tc>
        <w:tc>
          <w:tcPr>
            <w:tcW w:type="dxa" w:w="6660"/>
            <w:shd w:fill="F7F5FA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Friday welcome and Sunday closing acknowledgement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Post-event</w:t>
            </w:r>
          </w:p>
        </w:tc>
        <w:tc>
          <w:tcPr>
            <w:tcW w:type="dxa" w:w="6660"/>
            <w:tcBorders>
              <w:top w:val="single" w:sz="4" w:color="D9D2E3"/>
              <w:bottom w:val="single" w:sz="4" w:color="D9D2E3"/>
              <w:start w:val="single" w:sz="4" w:color="D9D2E3"/>
              <w:end w:val="single" w:sz="4" w:color="D9D2E3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 w:eastAsia="Arial"/>
                <w:color w:val="151020"/>
                <w:sz w:val="17"/>
              </w:rPr>
              <w:t>Inclusion in approved photo recap and impact report</w:t>
            </w:r>
          </w:p>
        </w:tc>
      </w:tr>
    </w:tbl>
    <w:p>
      <w:pPr>
        <w:pageBreakBefore/>
        <w:spacing w:before="0" w:after="360" w:line="240" w:lineRule="auto"/>
        <w:keepNext/>
        <w:keepLines/>
      </w:pPr>
      <w:r>
        <w:rPr>
          <w:rFonts w:ascii="Courier New" w:hAnsi="Courier New" w:eastAsia="Courier New"/>
          <w:b/>
          <w:i w:val="0"/>
          <w:color w:val="625A6E"/>
          <w:sz w:val="16"/>
        </w:rPr>
        <w:t>ONCHAIN TIME BUILDER SPRINT  /  VENUE IN-KIND PROPOSAL</w:t>
      </w:r>
    </w:p>
    <w:p>
      <w:pPr>
        <w:spacing w:before="0" w:after="80" w:line="320" w:lineRule="auto"/>
      </w:pPr>
      <w:r>
        <w:rPr>
          <w:rFonts w:ascii="Courier New" w:hAnsi="Courier New" w:eastAsia="Courier New"/>
          <w:b/>
          <w:i w:val="0"/>
          <w:color w:val="6D45B8"/>
          <w:sz w:val="18"/>
        </w:rPr>
        <w:t>06 / DELIVERY AND CONFIRMATION</w:t>
      </w:r>
    </w:p>
    <w:p>
      <w:pPr>
        <w:pStyle w:val="Heading1"/>
      </w:pPr>
      <w:r>
        <w:t>A short site review turns the proposal into an operating plan</w:t>
      </w:r>
    </w:p>
    <w:p>
      <w:pPr>
        <w:spacing w:before="0" w:after="240" w:line="307" w:lineRule="auto"/>
      </w:pPr>
      <w:r>
        <w:rPr>
          <w:rFonts w:ascii="Arial" w:hAnsi="Arial" w:eastAsia="Arial"/>
          <w:b w:val="0"/>
          <w:i w:val="0"/>
          <w:color w:val="625A6E"/>
          <w:sz w:val="22"/>
        </w:rPr>
        <w:t>Danh leads event operations. Hieu manages the venue relationship and program coordination. The venue appoints one primary contact and one weekend technical contact.</w:t>
      </w:r>
    </w:p>
    <w:p>
      <w:pPr>
        <w:pStyle w:val="Heading2"/>
      </w:pPr>
      <w:r>
        <w:t>Participant safeguards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Published code of conduct and named escalation contacts.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No overnight venue operations or expectation of overnight building.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Dietary and accessibility needs collected before final room and catering plans.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Photo consent and project-visibility choices included in registration and submission.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First-aid supplies, emergency contacts and clear evacuation information.</w:t>
      </w:r>
    </w:p>
    <w:p>
      <w:pPr>
        <w:pStyle w:val="Heading2"/>
      </w:pPr>
      <w:r>
        <w:t>Site confirmation checklist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Legal venue name, address, primary contact and weekend technical contact.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Maximum safe capacity and agreed team-table layout.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Exact access, opening, closing and pack-down procedure for all three days.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Measured internet capacity, network access method and backup permissions.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Power distribution, extension-board rules and cable-management requirements.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Included screens, projectors, microphones, furniture, security and cleaning.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Location and acoustic separation of the two Sunday demo tracks.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Emergency, accessibility, catering-delivery and photography requirements.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Arial" w:hAnsi="Arial" w:eastAsia="Arial"/>
          <w:color w:val="151020"/>
          <w:sz w:val="22"/>
        </w:rPr>
        <w:t>Commercial value of the in-kind contribution and agreed public recognition.</w:t>
      </w:r>
    </w:p>
    <w:p>
      <w:pPr>
        <w:pStyle w:val="Heading2"/>
      </w:pPr>
      <w:r>
        <w:t>Next steps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Confirm interest. </w:t>
      </w:r>
      <w:r>
        <w:rPr>
          <w:rFonts w:ascii="Arial" w:hAnsi="Arial" w:eastAsia="Arial"/>
          <w:color w:val="151020"/>
          <w:sz w:val="22"/>
        </w:rPr>
        <w:t>Agree in principle as soon as possible to support the dates, capacity and operating hours; online materials open on 4 September.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Complete a site check and room plan. </w:t>
      </w:r>
      <w:r>
        <w:rPr>
          <w:rFonts w:ascii="Arial" w:hAnsi="Arial" w:eastAsia="Arial"/>
          <w:color w:val="151020"/>
          <w:sz w:val="22"/>
        </w:rPr>
        <w:t>Validate internet, power, layout, access, AV and demo separation, then sign off catering delivery, security, cleaning and event zones.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Document the contribution. </w:t>
      </w:r>
      <w:r>
        <w:rPr>
          <w:rFonts w:ascii="Arial" w:hAnsi="Arial" w:eastAsia="Arial"/>
          <w:color w:val="151020"/>
          <w:sz w:val="22"/>
        </w:rPr>
        <w:t>Record the included services and normal commercial value of the venue support.</w:t>
      </w:r>
    </w:p>
    <w:p>
      <w:pPr>
        <w:numPr>
          <w:ilvl w:val="0"/>
          <w:numId w:val="12"/>
        </w:numPr>
        <w:spacing w:before="0" w:after="80" w:line="290" w:lineRule="auto"/>
      </w:pPr>
      <w:r>
        <w:rPr>
          <w:rFonts w:ascii="Arial" w:hAnsi="Arial" w:eastAsia="Arial"/>
          <w:b/>
          <w:color w:val="151020"/>
          <w:sz w:val="22"/>
        </w:rPr>
        <w:t xml:space="preserve">Exchange contacts and brand assets. </w:t>
      </w:r>
      <w:r>
        <w:rPr>
          <w:rFonts w:ascii="Arial" w:hAnsi="Arial" w:eastAsia="Arial"/>
          <w:color w:val="151020"/>
          <w:sz w:val="22"/>
        </w:rPr>
        <w:t>Confirm public naming, logo use and escalation routes.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9"/>
        <w:spacing w:before="0"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  <w:spacing w:before="0" w:after="80" w:line="29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" w:hAnsi="Arial"/>
      <w:color w:val="151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6D45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6D45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229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before="0" w:after="0" w:line="269" w:lineRule="auto"/>
    </w:pPr>
    <w:rPr>
      <w:rFonts w:ascii="Arial" w:hAnsi="Arial"/>
      <w:color w:val="151020"/>
      <w:sz w:val="18"/>
    </w:rPr>
  </w:style>
  <w:style w:type="paragraph" w:customStyle="1" w:styleId="TableHeader">
    <w:name w:val="Table Header"/>
    <w:pPr>
      <w:spacing w:before="0" w:after="0" w:line="252" w:lineRule="auto"/>
    </w:pPr>
    <w:rPr>
      <w:rFonts w:ascii="Arial" w:hAnsi="Arial"/>
      <w:b/>
      <w:color w:val="FFFFFF"/>
      <w:sz w:val="17"/>
    </w:rPr>
  </w:style>
  <w:style w:type="paragraph" w:customStyle="1" w:styleId="SmallNote">
    <w:name w:val="Small Note"/>
    <w:pPr>
      <w:spacing w:before="80" w:after="80" w:line="276" w:lineRule="auto"/>
    </w:pPr>
    <w:rPr>
      <w:rFonts w:ascii="Arial" w:hAnsi="Arial"/>
      <w:color w:val="625A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Onchain Time Builder Sprint — Venue In-Kind Partnership Proposal</dc:title>
  <dc:subject>In-kind venue partnership proposal for a Da Nang builder sprint</dc:subject>
  <dc:creator>Onchain Time Builder Sprint organizing team</dc:creator>
  <cp:keywords>Solana, Superteam Vietnam, Da Nang, builder sprint, venue partnership</cp:keywords>
  <dc:description>Prepared 31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